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00038805"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3B2EBA">
        <w:rPr>
          <w:rFonts w:cs="Arial"/>
          <w:b/>
          <w:sz w:val="24"/>
          <w:szCs w:val="24"/>
        </w:rPr>
        <w:t>b</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9D6C37">
        <w:rPr>
          <w:rFonts w:cs="Arial"/>
          <w:b/>
          <w:sz w:val="24"/>
          <w:szCs w:val="24"/>
        </w:rPr>
        <w:t>5332</w:t>
      </w:r>
    </w:p>
    <w:p w14:paraId="31DCE6A5" w14:textId="1247370D"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0D6729">
        <w:rPr>
          <w:rFonts w:cs="Arial"/>
          <w:b/>
          <w:sz w:val="24"/>
          <w:szCs w:val="24"/>
          <w:lang w:eastAsia="zh-CN"/>
        </w:rPr>
        <w:t>October</w:t>
      </w:r>
      <w:r w:rsidR="00281AEB" w:rsidRPr="004E2857">
        <w:rPr>
          <w:rFonts w:cs="Arial"/>
          <w:b/>
          <w:sz w:val="24"/>
          <w:szCs w:val="24"/>
          <w:lang w:eastAsia="zh-CN"/>
        </w:rPr>
        <w:t xml:space="preserve"> </w:t>
      </w:r>
      <w:r w:rsidR="00BF2692">
        <w:rPr>
          <w:rFonts w:cs="Arial"/>
          <w:b/>
          <w:sz w:val="24"/>
          <w:szCs w:val="24"/>
          <w:lang w:eastAsia="zh-CN"/>
        </w:rPr>
        <w:t>1</w:t>
      </w:r>
      <w:r w:rsidR="000D6729">
        <w:rPr>
          <w:rFonts w:cs="Arial"/>
          <w:b/>
          <w:sz w:val="24"/>
          <w:szCs w:val="24"/>
          <w:lang w:eastAsia="zh-CN"/>
        </w:rPr>
        <w:t>0</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0D6729">
        <w:rPr>
          <w:rFonts w:cs="Arial"/>
          <w:b/>
          <w:sz w:val="24"/>
          <w:szCs w:val="24"/>
          <w:lang w:eastAsia="zh-CN"/>
        </w:rPr>
        <w:t>19</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6A9F2AC2"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765A9D">
        <w:rPr>
          <w:rFonts w:cs="Arial"/>
          <w:sz w:val="22"/>
        </w:rPr>
        <w:t>Architecture MSD and A-MPR aspects for PC2</w:t>
      </w:r>
      <w:r w:rsidR="00436B73">
        <w:rPr>
          <w:rFonts w:cs="Arial"/>
          <w:sz w:val="22"/>
        </w:rPr>
        <w:t xml:space="preserve"> </w:t>
      </w:r>
      <w:r w:rsidR="00765A9D">
        <w:rPr>
          <w:rFonts w:cs="Arial"/>
          <w:sz w:val="22"/>
        </w:rPr>
        <w:t xml:space="preserve">FDD </w:t>
      </w:r>
      <w:r w:rsidR="00F429DD">
        <w:rPr>
          <w:rFonts w:cs="Arial"/>
          <w:sz w:val="22"/>
        </w:rPr>
        <w:t>mid</w:t>
      </w:r>
      <w:r w:rsidR="00E50E1D">
        <w:rPr>
          <w:rFonts w:cs="Arial"/>
          <w:sz w:val="22"/>
        </w:rPr>
        <w:t xml:space="preserve"> </w:t>
      </w:r>
      <w:r w:rsidR="00765A9D">
        <w:rPr>
          <w:rFonts w:cs="Arial"/>
          <w:sz w:val="22"/>
        </w:rPr>
        <w:t>bands</w:t>
      </w:r>
    </w:p>
    <w:p w14:paraId="03C4DA88" w14:textId="0BAE5A11" w:rsidR="00BC38C0" w:rsidRDefault="00675C27" w:rsidP="00A20197">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D2255F" w:rsidRPr="00D2255F">
        <w:rPr>
          <w:rFonts w:cs="Arial"/>
          <w:sz w:val="22"/>
        </w:rPr>
        <w:t>5.22.2</w:t>
      </w:r>
      <w:r w:rsidR="00D2255F">
        <w:rPr>
          <w:rFonts w:cs="Arial"/>
          <w:sz w:val="22"/>
        </w:rPr>
        <w:t xml:space="preserve"> </w:t>
      </w:r>
      <w:r w:rsidR="00D2255F" w:rsidRPr="00D2255F">
        <w:rPr>
          <w:rFonts w:cs="Arial"/>
          <w:sz w:val="22"/>
        </w:rPr>
        <w:t>UE RF requirements</w:t>
      </w:r>
      <w:r w:rsidR="00D2255F">
        <w:rPr>
          <w:rFonts w:cs="Arial"/>
          <w:sz w:val="22"/>
        </w:rPr>
        <w:t xml:space="preserve"> </w:t>
      </w:r>
      <w:r w:rsidR="00D2255F" w:rsidRPr="00D2255F">
        <w:rPr>
          <w:rFonts w:cs="Arial"/>
          <w:sz w:val="22"/>
        </w:rPr>
        <w:t>[NR_PC2_UE_FDD_R18]</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3CFBA49B" w:rsidR="00842311" w:rsidRPr="00B734F1" w:rsidRDefault="007C2743" w:rsidP="00825624">
      <w:pPr>
        <w:overflowPunct/>
        <w:autoSpaceDE/>
        <w:autoSpaceDN/>
        <w:adjustRightInd/>
        <w:spacing w:after="0"/>
        <w:jc w:val="both"/>
        <w:textAlignment w:val="auto"/>
        <w:rPr>
          <w:rFonts w:eastAsia="SimSun"/>
          <w:lang w:eastAsia="zh-CN"/>
        </w:rPr>
      </w:pPr>
      <w:bookmarkStart w:id="2" w:name="_Hlk115189237"/>
      <w:r>
        <w:rPr>
          <w:rFonts w:eastAsia="SimSun"/>
          <w:lang w:eastAsia="zh-CN"/>
        </w:rPr>
        <w:t>I</w:t>
      </w:r>
      <w:r w:rsidR="004247E2">
        <w:rPr>
          <w:rFonts w:eastAsia="SimSun"/>
          <w:lang w:eastAsia="zh-CN"/>
        </w:rPr>
        <w:t>n</w:t>
      </w:r>
      <w:r w:rsidR="008B5046">
        <w:rPr>
          <w:rFonts w:eastAsia="SimSun"/>
          <w:lang w:eastAsia="zh-CN"/>
        </w:rPr>
        <w:t xml:space="preserve"> </w:t>
      </w:r>
      <w:r w:rsidR="003676A3">
        <w:rPr>
          <w:rFonts w:eastAsia="SimSun"/>
          <w:lang w:eastAsia="zh-CN"/>
        </w:rPr>
        <w:t>RP#97</w:t>
      </w:r>
      <w:r w:rsidR="00FB5B38">
        <w:rPr>
          <w:rFonts w:eastAsia="SimSun"/>
          <w:lang w:eastAsia="zh-CN"/>
        </w:rPr>
        <w:t xml:space="preserve">e, </w:t>
      </w:r>
      <w:r w:rsidR="003676A3">
        <w:rPr>
          <w:rFonts w:eastAsia="SimSun"/>
          <w:lang w:eastAsia="zh-CN"/>
        </w:rPr>
        <w:t>a Release 18 new work item [1] was agreed to introduce PC2 UEs in more FDD bands</w:t>
      </w:r>
      <w:r w:rsidR="00444AAD">
        <w:rPr>
          <w:rFonts w:eastAsia="SimSun"/>
          <w:lang w:eastAsia="zh-CN"/>
        </w:rPr>
        <w:t>.</w:t>
      </w:r>
      <w:r w:rsidR="003676A3">
        <w:rPr>
          <w:rFonts w:eastAsia="SimSun"/>
          <w:lang w:eastAsia="zh-CN"/>
        </w:rPr>
        <w:t xml:space="preserve"> </w:t>
      </w:r>
      <w:r w:rsidR="00444AAD">
        <w:rPr>
          <w:rFonts w:eastAsia="SimSun"/>
          <w:lang w:eastAsia="zh-CN"/>
        </w:rPr>
        <w:t>T</w:t>
      </w:r>
      <w:r w:rsidR="003676A3">
        <w:rPr>
          <w:rFonts w:eastAsia="SimSun"/>
          <w:lang w:eastAsia="zh-CN"/>
        </w:rPr>
        <w:t>his include</w:t>
      </w:r>
      <w:r w:rsidR="009B3556">
        <w:rPr>
          <w:rFonts w:eastAsia="SimSun"/>
          <w:lang w:eastAsia="zh-CN"/>
        </w:rPr>
        <w:t>s</w:t>
      </w:r>
      <w:r w:rsidR="003676A3">
        <w:rPr>
          <w:rFonts w:eastAsia="SimSun"/>
          <w:lang w:eastAsia="zh-CN"/>
        </w:rPr>
        <w:t xml:space="preserve"> both mid bands </w:t>
      </w:r>
      <w:proofErr w:type="gramStart"/>
      <w:r w:rsidR="00444AAD">
        <w:rPr>
          <w:rFonts w:eastAsia="SimSun"/>
          <w:lang w:eastAsia="zh-CN"/>
        </w:rPr>
        <w:t>similar to</w:t>
      </w:r>
      <w:proofErr w:type="gramEnd"/>
      <w:r w:rsidR="003676A3">
        <w:rPr>
          <w:rFonts w:eastAsia="SimSun"/>
          <w:lang w:eastAsia="zh-CN"/>
        </w:rPr>
        <w:t xml:space="preserve"> Release 17</w:t>
      </w:r>
      <w:r w:rsidR="00444AAD">
        <w:rPr>
          <w:rFonts w:eastAsia="SimSun"/>
          <w:lang w:eastAsia="zh-CN"/>
        </w:rPr>
        <w:t xml:space="preserve"> and</w:t>
      </w:r>
      <w:r w:rsidR="003676A3">
        <w:rPr>
          <w:rFonts w:eastAsia="SimSun"/>
          <w:lang w:eastAsia="zh-CN"/>
        </w:rPr>
        <w:t xml:space="preserve"> also low bands</w:t>
      </w:r>
      <w:r w:rsidR="00B8490C">
        <w:rPr>
          <w:rFonts w:eastAsia="SimSun"/>
          <w:lang w:eastAsia="zh-CN"/>
        </w:rPr>
        <w:t>.</w:t>
      </w:r>
      <w:r w:rsidR="003676A3">
        <w:rPr>
          <w:rFonts w:eastAsia="SimSun"/>
          <w:lang w:eastAsia="zh-CN"/>
        </w:rPr>
        <w:t xml:space="preserve"> </w:t>
      </w:r>
      <w:r w:rsidR="000A724C">
        <w:rPr>
          <w:rFonts w:eastAsia="SimSun"/>
          <w:lang w:eastAsia="zh-CN"/>
        </w:rPr>
        <w:t>In this contribution we focus on the mid bands, while low bands are covered in [2], and discuss the related architecture, MSD and A-MPR aspects for PC2.</w:t>
      </w:r>
    </w:p>
    <w:bookmarkEnd w:id="2"/>
    <w:p w14:paraId="58FA5DD0" w14:textId="29289E3F" w:rsidR="00530C06" w:rsidRPr="00274AAC" w:rsidRDefault="00853ECB" w:rsidP="00274AAC">
      <w:pPr>
        <w:pStyle w:val="Heading1"/>
        <w:tabs>
          <w:tab w:val="clear" w:pos="1152"/>
          <w:tab w:val="num" w:pos="450"/>
        </w:tabs>
        <w:ind w:left="450"/>
      </w:pPr>
      <w:r w:rsidRPr="00274AAC">
        <w:rPr>
          <w:rFonts w:hint="eastAsia"/>
        </w:rPr>
        <w:t>Discussion</w:t>
      </w:r>
      <w:bookmarkStart w:id="3" w:name="_Hlk115173418"/>
    </w:p>
    <w:p w14:paraId="4A5AF429" w14:textId="77777777" w:rsidR="00F15ABA" w:rsidRDefault="00F15ABA" w:rsidP="00F15ABA">
      <w:pPr>
        <w:pStyle w:val="Heading2"/>
        <w:spacing w:after="240"/>
        <w:rPr>
          <w:lang w:eastAsia="zh-CN"/>
        </w:rPr>
      </w:pPr>
      <w:r>
        <w:rPr>
          <w:lang w:eastAsia="zh-CN"/>
        </w:rPr>
        <w:t>Architecture for mid bands</w:t>
      </w:r>
    </w:p>
    <w:p w14:paraId="1E55B684" w14:textId="4EF03F14" w:rsidR="00F15ABA" w:rsidRDefault="00F15ABA" w:rsidP="00F15ABA">
      <w:pPr>
        <w:rPr>
          <w:lang w:val="en-GB" w:eastAsia="zh-CN"/>
        </w:rPr>
      </w:pPr>
      <w:r>
        <w:rPr>
          <w:lang w:val="en-GB" w:eastAsia="zh-CN"/>
        </w:rPr>
        <w:t>Since the Release 1</w:t>
      </w:r>
      <w:r w:rsidR="009B3556">
        <w:rPr>
          <w:lang w:val="en-GB" w:eastAsia="zh-CN"/>
        </w:rPr>
        <w:t>7</w:t>
      </w:r>
      <w:r>
        <w:rPr>
          <w:lang w:val="en-GB" w:eastAsia="zh-CN"/>
        </w:rPr>
        <w:t xml:space="preserve"> </w:t>
      </w:r>
      <w:r w:rsidR="009B3556">
        <w:rPr>
          <w:lang w:val="en-GB" w:eastAsia="zh-CN"/>
        </w:rPr>
        <w:t>the WI</w:t>
      </w:r>
      <w:r>
        <w:rPr>
          <w:lang w:val="en-GB" w:eastAsia="zh-CN"/>
        </w:rPr>
        <w:t xml:space="preserve"> </w:t>
      </w:r>
      <w:r w:rsidR="00444AAD">
        <w:rPr>
          <w:lang w:val="en-GB" w:eastAsia="zh-CN"/>
        </w:rPr>
        <w:t>has</w:t>
      </w:r>
      <w:r>
        <w:rPr>
          <w:lang w:val="en-GB" w:eastAsia="zh-CN"/>
        </w:rPr>
        <w:t xml:space="preserve"> used mid bands n1 and n3 as examples and both 1Tx and 2Tx architectures were specified, it is logical that </w:t>
      </w:r>
      <w:r w:rsidR="00444AAD">
        <w:rPr>
          <w:lang w:val="en-GB" w:eastAsia="zh-CN"/>
        </w:rPr>
        <w:t xml:space="preserve">both </w:t>
      </w:r>
      <w:r>
        <w:rPr>
          <w:lang w:val="en-GB" w:eastAsia="zh-CN"/>
        </w:rPr>
        <w:t>1Tx and 2T</w:t>
      </w:r>
      <w:r w:rsidR="00444AAD">
        <w:rPr>
          <w:lang w:val="en-GB" w:eastAsia="zh-CN"/>
        </w:rPr>
        <w:t>x</w:t>
      </w:r>
      <w:r>
        <w:rPr>
          <w:lang w:val="en-GB" w:eastAsia="zh-CN"/>
        </w:rPr>
        <w:t xml:space="preserve"> architectures are specified for </w:t>
      </w:r>
      <w:r w:rsidRPr="0022644A">
        <w:rPr>
          <w:lang w:val="en-GB" w:eastAsia="zh-CN"/>
        </w:rPr>
        <w:t>n2, n25 and n66</w:t>
      </w:r>
      <w:r>
        <w:rPr>
          <w:lang w:val="en-GB" w:eastAsia="zh-CN"/>
        </w:rPr>
        <w:t>. If this calls for separate PC2 Reference sensitivity degradation for 1Tx and 2Tx, for A-MPR the worst A-MPR case for 2Tx</w:t>
      </w:r>
      <w:r w:rsidR="00444AAD">
        <w:rPr>
          <w:lang w:val="en-GB" w:eastAsia="zh-CN"/>
        </w:rPr>
        <w:t xml:space="preserve"> should be targeted to cover both 1Tx and 2Tx</w:t>
      </w:r>
      <w:r>
        <w:rPr>
          <w:lang w:val="en-GB" w:eastAsia="zh-CN"/>
        </w:rPr>
        <w:t>.</w:t>
      </w:r>
    </w:p>
    <w:p w14:paraId="5947B5D3" w14:textId="79C29A78" w:rsidR="00F15ABA" w:rsidRPr="00454C17" w:rsidRDefault="00F15ABA" w:rsidP="00F15ABA">
      <w:pPr>
        <w:spacing w:after="0"/>
        <w:rPr>
          <w:b/>
          <w:bCs/>
          <w:lang w:val="en-GB" w:eastAsia="zh-CN"/>
        </w:rPr>
      </w:pPr>
      <w:r w:rsidRPr="00454C17">
        <w:rPr>
          <w:b/>
          <w:bCs/>
          <w:lang w:val="en-GB" w:eastAsia="zh-CN"/>
        </w:rPr>
        <w:t>Proposal</w:t>
      </w:r>
      <w:r w:rsidR="00B7375C">
        <w:rPr>
          <w:b/>
          <w:bCs/>
          <w:lang w:val="en-GB" w:eastAsia="zh-CN"/>
        </w:rPr>
        <w:t xml:space="preserve"> on architecture</w:t>
      </w:r>
      <w:r w:rsidRPr="00454C17">
        <w:rPr>
          <w:b/>
          <w:bCs/>
          <w:lang w:val="en-GB" w:eastAsia="zh-CN"/>
        </w:rPr>
        <w:t>:</w:t>
      </w:r>
    </w:p>
    <w:p w14:paraId="2F17519F" w14:textId="3A13C275" w:rsidR="00F15ABA" w:rsidRPr="003C2061" w:rsidRDefault="00F15ABA" w:rsidP="00F15ABA">
      <w:pPr>
        <w:pStyle w:val="ListParagraph"/>
        <w:numPr>
          <w:ilvl w:val="0"/>
          <w:numId w:val="37"/>
        </w:numPr>
        <w:rPr>
          <w:b/>
          <w:bCs/>
          <w:lang w:val="en-GB" w:eastAsia="zh-CN"/>
        </w:rPr>
      </w:pPr>
      <w:r w:rsidRPr="003C2061">
        <w:rPr>
          <w:b/>
          <w:bCs/>
          <w:lang w:val="en-GB" w:eastAsia="zh-CN"/>
        </w:rPr>
        <w:t>Both 1Tx and 2T</w:t>
      </w:r>
      <w:r w:rsidR="00AD53CC">
        <w:rPr>
          <w:b/>
          <w:bCs/>
          <w:lang w:val="en-GB" w:eastAsia="zh-CN"/>
        </w:rPr>
        <w:t>x</w:t>
      </w:r>
      <w:r w:rsidRPr="003C2061">
        <w:rPr>
          <w:b/>
          <w:bCs/>
          <w:lang w:val="en-GB" w:eastAsia="zh-CN"/>
        </w:rPr>
        <w:t xml:space="preserve"> architectures are specified for mid bands n2, n25 and n66</w:t>
      </w:r>
    </w:p>
    <w:p w14:paraId="2CA2FECE" w14:textId="64FFB28E" w:rsidR="00F15ABA" w:rsidRDefault="00F15ABA" w:rsidP="00F15ABA">
      <w:pPr>
        <w:pStyle w:val="ListParagraph"/>
        <w:numPr>
          <w:ilvl w:val="0"/>
          <w:numId w:val="37"/>
        </w:numPr>
        <w:rPr>
          <w:b/>
          <w:bCs/>
          <w:lang w:val="en-GB" w:eastAsia="zh-CN"/>
        </w:rPr>
      </w:pPr>
      <w:r w:rsidRPr="003C2061">
        <w:rPr>
          <w:b/>
          <w:bCs/>
          <w:lang w:val="en-GB" w:eastAsia="zh-CN"/>
        </w:rPr>
        <w:t>Both 1Tx and 2T</w:t>
      </w:r>
      <w:r w:rsidR="00AD53CC">
        <w:rPr>
          <w:b/>
          <w:bCs/>
          <w:lang w:val="en-GB" w:eastAsia="zh-CN"/>
        </w:rPr>
        <w:t>x</w:t>
      </w:r>
      <w:r w:rsidRPr="003C2061">
        <w:rPr>
          <w:b/>
          <w:bCs/>
          <w:lang w:val="en-GB" w:eastAsia="zh-CN"/>
        </w:rPr>
        <w:t xml:space="preserve"> PC2 Reference sensitivity degradation</w:t>
      </w:r>
      <w:r>
        <w:rPr>
          <w:b/>
          <w:bCs/>
          <w:lang w:val="en-GB" w:eastAsia="zh-CN"/>
        </w:rPr>
        <w:t>s</w:t>
      </w:r>
      <w:r w:rsidRPr="003C2061">
        <w:rPr>
          <w:b/>
          <w:bCs/>
          <w:lang w:val="en-GB" w:eastAsia="zh-CN"/>
        </w:rPr>
        <w:t xml:space="preserve"> are specified</w:t>
      </w:r>
    </w:p>
    <w:p w14:paraId="0415E79A" w14:textId="1CE6A48E" w:rsidR="00F15ABA" w:rsidRPr="003C2061" w:rsidRDefault="00F15ABA" w:rsidP="00F15ABA">
      <w:pPr>
        <w:pStyle w:val="ListParagraph"/>
        <w:numPr>
          <w:ilvl w:val="0"/>
          <w:numId w:val="37"/>
        </w:numPr>
        <w:rPr>
          <w:b/>
          <w:bCs/>
          <w:lang w:val="en-GB" w:eastAsia="zh-CN"/>
        </w:rPr>
      </w:pPr>
      <w:r>
        <w:rPr>
          <w:b/>
          <w:bCs/>
          <w:lang w:val="en-GB" w:eastAsia="zh-CN"/>
        </w:rPr>
        <w:t>A-MPR is based on the worst-case architecture which is 2Tx due to lower PA linearity and RIMD contribution</w:t>
      </w:r>
      <w:r w:rsidR="00444AAD">
        <w:rPr>
          <w:b/>
          <w:bCs/>
          <w:lang w:val="en-GB" w:eastAsia="zh-CN"/>
        </w:rPr>
        <w:t>.</w:t>
      </w:r>
    </w:p>
    <w:p w14:paraId="2B6BB5EA" w14:textId="66F2AA95" w:rsidR="008C538F" w:rsidRDefault="008C538F" w:rsidP="008C538F">
      <w:pPr>
        <w:pStyle w:val="Heading2"/>
        <w:spacing w:after="240"/>
        <w:rPr>
          <w:lang w:eastAsia="zh-CN"/>
        </w:rPr>
      </w:pPr>
      <w:r>
        <w:rPr>
          <w:lang w:eastAsia="zh-CN"/>
        </w:rPr>
        <w:t>MSD for mid bands</w:t>
      </w:r>
    </w:p>
    <w:p w14:paraId="0686FA76" w14:textId="6AF0A182" w:rsidR="00F15ABA" w:rsidRDefault="00F15ABA" w:rsidP="00F15ABA">
      <w:pPr>
        <w:rPr>
          <w:lang w:val="en-GB" w:eastAsia="zh-CN"/>
        </w:rPr>
      </w:pPr>
      <w:bookmarkStart w:id="4" w:name="_Hlk115194334"/>
      <w:proofErr w:type="gramStart"/>
      <w:r>
        <w:rPr>
          <w:lang w:val="en-GB" w:eastAsia="zh-CN"/>
        </w:rPr>
        <w:t>In order to</w:t>
      </w:r>
      <w:proofErr w:type="gramEnd"/>
      <w:r>
        <w:rPr>
          <w:lang w:val="en-GB" w:eastAsia="zh-CN"/>
        </w:rPr>
        <w:t xml:space="preserve"> estimate the Reference sensitivity degradation for PC2, it is of </w:t>
      </w:r>
      <w:r w:rsidR="00444AAD">
        <w:rPr>
          <w:lang w:val="en-GB" w:eastAsia="zh-CN"/>
        </w:rPr>
        <w:t xml:space="preserve">primary </w:t>
      </w:r>
      <w:r>
        <w:rPr>
          <w:lang w:val="en-GB" w:eastAsia="zh-CN"/>
        </w:rPr>
        <w:t xml:space="preserve">importance to check which cases see UL noise related degradation due to small duplex distance (like </w:t>
      </w:r>
      <w:r w:rsidR="00444AAD">
        <w:rPr>
          <w:lang w:val="en-GB" w:eastAsia="zh-CN"/>
        </w:rPr>
        <w:t xml:space="preserve">for </w:t>
      </w:r>
      <w:r>
        <w:rPr>
          <w:lang w:val="en-GB" w:eastAsia="zh-CN"/>
        </w:rPr>
        <w:t>n3) versus none</w:t>
      </w:r>
      <w:r w:rsidR="00444AAD">
        <w:rPr>
          <w:lang w:val="en-GB" w:eastAsia="zh-CN"/>
        </w:rPr>
        <w:t>,</w:t>
      </w:r>
      <w:r>
        <w:rPr>
          <w:lang w:val="en-GB" w:eastAsia="zh-CN"/>
        </w:rPr>
        <w:t xml:space="preserve"> thanks to</w:t>
      </w:r>
      <w:r w:rsidR="00444AAD">
        <w:rPr>
          <w:lang w:val="en-GB" w:eastAsia="zh-CN"/>
        </w:rPr>
        <w:t xml:space="preserve"> a</w:t>
      </w:r>
      <w:r>
        <w:rPr>
          <w:lang w:val="en-GB" w:eastAsia="zh-CN"/>
        </w:rPr>
        <w:t xml:space="preserve"> large duplex distance (like</w:t>
      </w:r>
      <w:r w:rsidR="00444AAD">
        <w:rPr>
          <w:lang w:val="en-GB" w:eastAsia="zh-CN"/>
        </w:rPr>
        <w:t xml:space="preserve"> for</w:t>
      </w:r>
      <w:r>
        <w:rPr>
          <w:lang w:val="en-GB" w:eastAsia="zh-CN"/>
        </w:rPr>
        <w:t xml:space="preserve"> n1)</w:t>
      </w:r>
      <w:r w:rsidR="009C28E2">
        <w:rPr>
          <w:lang w:val="en-GB" w:eastAsia="zh-CN"/>
        </w:rPr>
        <w:t xml:space="preserve">. This is </w:t>
      </w:r>
      <w:r w:rsidR="00444AAD">
        <w:rPr>
          <w:lang w:val="en-GB" w:eastAsia="zh-CN"/>
        </w:rPr>
        <w:t>achieved</w:t>
      </w:r>
      <w:r w:rsidR="009C28E2">
        <w:rPr>
          <w:lang w:val="en-GB" w:eastAsia="zh-CN"/>
        </w:rPr>
        <w:t xml:space="preserve"> by comparing the PC3 REFSEN with the ideally scaled REFSENS as shown in Table 1.</w:t>
      </w:r>
    </w:p>
    <w:bookmarkEnd w:id="4"/>
    <w:p w14:paraId="2658DE87" w14:textId="2B41A3B6" w:rsidR="00F15ABA" w:rsidRDefault="00F15ABA" w:rsidP="00F15ABA">
      <w:pPr>
        <w:pStyle w:val="Caption"/>
        <w:keepNext/>
        <w:jc w:val="center"/>
      </w:pPr>
      <w:r>
        <w:t xml:space="preserve">Table </w:t>
      </w:r>
      <w:fldSimple w:instr=" SEQ Table \* ARABIC ">
        <w:r w:rsidR="000160C3">
          <w:rPr>
            <w:noProof/>
          </w:rPr>
          <w:t>1</w:t>
        </w:r>
      </w:fldSimple>
      <w:r>
        <w:t xml:space="preserve">: </w:t>
      </w:r>
      <w:bookmarkStart w:id="5" w:name="_Hlk115194501"/>
      <w:r>
        <w:t>Comparison of PC3 REFSENs versus 5MHz scaled REFSENS</w:t>
      </w:r>
      <w:bookmarkEnd w:id="5"/>
    </w:p>
    <w:tbl>
      <w:tblPr>
        <w:tblW w:w="9493" w:type="dxa"/>
        <w:jc w:val="center"/>
        <w:tblLook w:val="04A0" w:firstRow="1" w:lastRow="0" w:firstColumn="1" w:lastColumn="0" w:noHBand="0" w:noVBand="1"/>
      </w:tblPr>
      <w:tblGrid>
        <w:gridCol w:w="689"/>
        <w:gridCol w:w="1313"/>
        <w:gridCol w:w="1411"/>
        <w:gridCol w:w="680"/>
        <w:gridCol w:w="640"/>
        <w:gridCol w:w="680"/>
        <w:gridCol w:w="680"/>
        <w:gridCol w:w="680"/>
        <w:gridCol w:w="680"/>
        <w:gridCol w:w="680"/>
        <w:gridCol w:w="680"/>
        <w:gridCol w:w="680"/>
      </w:tblGrid>
      <w:tr w:rsidR="009C28E2" w:rsidRPr="009C28E2" w14:paraId="422D37A3" w14:textId="77777777" w:rsidTr="009C28E2">
        <w:trPr>
          <w:trHeight w:val="70"/>
          <w:jc w:val="center"/>
        </w:trPr>
        <w:tc>
          <w:tcPr>
            <w:tcW w:w="689" w:type="dxa"/>
            <w:tcBorders>
              <w:top w:val="nil"/>
              <w:left w:val="nil"/>
              <w:bottom w:val="nil"/>
              <w:right w:val="nil"/>
            </w:tcBorders>
            <w:shd w:val="clear" w:color="auto" w:fill="auto"/>
            <w:noWrap/>
            <w:vAlign w:val="bottom"/>
            <w:hideMark/>
          </w:tcPr>
          <w:p w14:paraId="1E4928F6" w14:textId="77777777" w:rsidR="009C28E2" w:rsidRPr="009C28E2" w:rsidRDefault="009C28E2" w:rsidP="009C28E2">
            <w:pPr>
              <w:overflowPunct/>
              <w:autoSpaceDE/>
              <w:autoSpaceDN/>
              <w:adjustRightInd/>
              <w:spacing w:after="0"/>
              <w:textAlignment w:val="auto"/>
              <w:rPr>
                <w:sz w:val="24"/>
                <w:szCs w:val="24"/>
              </w:rPr>
            </w:pPr>
          </w:p>
        </w:tc>
        <w:tc>
          <w:tcPr>
            <w:tcW w:w="1313" w:type="dxa"/>
            <w:tcBorders>
              <w:top w:val="nil"/>
              <w:left w:val="nil"/>
              <w:bottom w:val="nil"/>
              <w:right w:val="nil"/>
            </w:tcBorders>
            <w:shd w:val="clear" w:color="auto" w:fill="auto"/>
            <w:noWrap/>
            <w:vAlign w:val="bottom"/>
            <w:hideMark/>
          </w:tcPr>
          <w:p w14:paraId="77B518D7" w14:textId="77777777" w:rsidR="009C28E2" w:rsidRPr="009C28E2" w:rsidRDefault="009C28E2" w:rsidP="009C28E2">
            <w:pPr>
              <w:overflowPunct/>
              <w:autoSpaceDE/>
              <w:autoSpaceDN/>
              <w:adjustRightInd/>
              <w:spacing w:after="0"/>
              <w:textAlignment w:val="auto"/>
            </w:pPr>
          </w:p>
        </w:tc>
        <w:tc>
          <w:tcPr>
            <w:tcW w:w="1411" w:type="dxa"/>
            <w:tcBorders>
              <w:top w:val="nil"/>
              <w:left w:val="nil"/>
              <w:bottom w:val="nil"/>
              <w:right w:val="nil"/>
            </w:tcBorders>
            <w:shd w:val="clear" w:color="auto" w:fill="auto"/>
            <w:noWrap/>
            <w:vAlign w:val="bottom"/>
            <w:hideMark/>
          </w:tcPr>
          <w:p w14:paraId="7986E823" w14:textId="77777777" w:rsidR="009C28E2" w:rsidRPr="009C28E2" w:rsidRDefault="009C28E2" w:rsidP="009C28E2">
            <w:pPr>
              <w:overflowPunct/>
              <w:autoSpaceDE/>
              <w:autoSpaceDN/>
              <w:adjustRightInd/>
              <w:spacing w:after="0"/>
              <w:textAlignment w:val="auto"/>
            </w:pPr>
          </w:p>
        </w:tc>
        <w:tc>
          <w:tcPr>
            <w:tcW w:w="608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84869E"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CBW [MHz], NRB, REFSENS [dBm]</w:t>
            </w:r>
          </w:p>
        </w:tc>
      </w:tr>
      <w:tr w:rsidR="009C28E2" w:rsidRPr="009C28E2" w14:paraId="535E6126" w14:textId="77777777" w:rsidTr="009C28E2">
        <w:trPr>
          <w:trHeight w:val="70"/>
          <w:jc w:val="center"/>
        </w:trPr>
        <w:tc>
          <w:tcPr>
            <w:tcW w:w="689" w:type="dxa"/>
            <w:tcBorders>
              <w:top w:val="nil"/>
              <w:left w:val="nil"/>
              <w:bottom w:val="nil"/>
              <w:right w:val="nil"/>
            </w:tcBorders>
            <w:shd w:val="clear" w:color="auto" w:fill="auto"/>
            <w:noWrap/>
            <w:vAlign w:val="bottom"/>
            <w:hideMark/>
          </w:tcPr>
          <w:p w14:paraId="5BBC32B1"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p>
        </w:tc>
        <w:tc>
          <w:tcPr>
            <w:tcW w:w="1313" w:type="dxa"/>
            <w:tcBorders>
              <w:top w:val="nil"/>
              <w:left w:val="nil"/>
              <w:bottom w:val="nil"/>
              <w:right w:val="nil"/>
            </w:tcBorders>
            <w:shd w:val="clear" w:color="auto" w:fill="auto"/>
            <w:noWrap/>
            <w:vAlign w:val="bottom"/>
            <w:hideMark/>
          </w:tcPr>
          <w:p w14:paraId="5DF19F45" w14:textId="77777777" w:rsidR="009C28E2" w:rsidRPr="009C28E2" w:rsidRDefault="009C28E2" w:rsidP="009C28E2">
            <w:pPr>
              <w:overflowPunct/>
              <w:autoSpaceDE/>
              <w:autoSpaceDN/>
              <w:adjustRightInd/>
              <w:spacing w:after="0"/>
              <w:textAlignment w:val="auto"/>
            </w:pPr>
          </w:p>
        </w:tc>
        <w:tc>
          <w:tcPr>
            <w:tcW w:w="1411" w:type="dxa"/>
            <w:tcBorders>
              <w:top w:val="nil"/>
              <w:left w:val="nil"/>
              <w:bottom w:val="nil"/>
              <w:right w:val="nil"/>
            </w:tcBorders>
            <w:shd w:val="clear" w:color="auto" w:fill="auto"/>
            <w:noWrap/>
            <w:vAlign w:val="bottom"/>
            <w:hideMark/>
          </w:tcPr>
          <w:p w14:paraId="1977F448" w14:textId="77777777" w:rsidR="009C28E2" w:rsidRPr="009C28E2" w:rsidRDefault="009C28E2" w:rsidP="009C28E2">
            <w:pPr>
              <w:overflowPunct/>
              <w:autoSpaceDE/>
              <w:autoSpaceDN/>
              <w:adjustRightInd/>
              <w:spacing w:after="0"/>
              <w:textAlignment w:val="auto"/>
            </w:pPr>
          </w:p>
        </w:tc>
        <w:tc>
          <w:tcPr>
            <w:tcW w:w="680" w:type="dxa"/>
            <w:tcBorders>
              <w:top w:val="nil"/>
              <w:left w:val="single" w:sz="4" w:space="0" w:color="auto"/>
              <w:bottom w:val="single" w:sz="4" w:space="0" w:color="auto"/>
              <w:right w:val="single" w:sz="4" w:space="0" w:color="auto"/>
            </w:tcBorders>
            <w:shd w:val="clear" w:color="auto" w:fill="auto"/>
            <w:vAlign w:val="center"/>
            <w:hideMark/>
          </w:tcPr>
          <w:p w14:paraId="29E33C4F" w14:textId="77777777" w:rsidR="009C28E2" w:rsidRPr="009C28E2" w:rsidRDefault="009C28E2" w:rsidP="009C28E2">
            <w:pPr>
              <w:overflowPunct/>
              <w:autoSpaceDE/>
              <w:autoSpaceDN/>
              <w:adjustRightInd/>
              <w:spacing w:after="0"/>
              <w:jc w:val="center"/>
              <w:textAlignment w:val="auto"/>
              <w:rPr>
                <w:rFonts w:ascii="Calibri" w:hAnsi="Calibri" w:cs="Calibri"/>
                <w:b/>
                <w:bCs/>
                <w:color w:val="000000"/>
                <w:sz w:val="18"/>
                <w:szCs w:val="18"/>
              </w:rPr>
            </w:pPr>
            <w:r w:rsidRPr="009C28E2">
              <w:rPr>
                <w:rFonts w:ascii="Calibri" w:eastAsia="PMingLiU" w:hAnsi="Calibri" w:cs="Calibri"/>
                <w:b/>
                <w:bCs/>
                <w:color w:val="000000"/>
                <w:sz w:val="18"/>
                <w:szCs w:val="18"/>
              </w:rPr>
              <w:t>5</w:t>
            </w:r>
          </w:p>
        </w:tc>
        <w:tc>
          <w:tcPr>
            <w:tcW w:w="640" w:type="dxa"/>
            <w:tcBorders>
              <w:top w:val="nil"/>
              <w:left w:val="nil"/>
              <w:bottom w:val="single" w:sz="4" w:space="0" w:color="auto"/>
              <w:right w:val="single" w:sz="4" w:space="0" w:color="auto"/>
            </w:tcBorders>
            <w:shd w:val="clear" w:color="auto" w:fill="auto"/>
            <w:vAlign w:val="center"/>
            <w:hideMark/>
          </w:tcPr>
          <w:p w14:paraId="0D8D677D" w14:textId="77777777" w:rsidR="009C28E2" w:rsidRPr="009C28E2" w:rsidRDefault="009C28E2" w:rsidP="009C28E2">
            <w:pPr>
              <w:overflowPunct/>
              <w:autoSpaceDE/>
              <w:autoSpaceDN/>
              <w:adjustRightInd/>
              <w:spacing w:after="0"/>
              <w:jc w:val="center"/>
              <w:textAlignment w:val="auto"/>
              <w:rPr>
                <w:rFonts w:ascii="Calibri" w:hAnsi="Calibri" w:cs="Calibri"/>
                <w:b/>
                <w:bCs/>
                <w:color w:val="000000"/>
                <w:sz w:val="18"/>
                <w:szCs w:val="18"/>
              </w:rPr>
            </w:pPr>
            <w:r w:rsidRPr="009C28E2">
              <w:rPr>
                <w:rFonts w:ascii="Calibri" w:eastAsia="PMingLiU" w:hAnsi="Calibri" w:cs="Calibri"/>
                <w:b/>
                <w:bCs/>
                <w:color w:val="000000"/>
                <w:sz w:val="18"/>
                <w:szCs w:val="18"/>
              </w:rPr>
              <w:t>10</w:t>
            </w:r>
          </w:p>
        </w:tc>
        <w:tc>
          <w:tcPr>
            <w:tcW w:w="680" w:type="dxa"/>
            <w:tcBorders>
              <w:top w:val="nil"/>
              <w:left w:val="nil"/>
              <w:bottom w:val="single" w:sz="4" w:space="0" w:color="auto"/>
              <w:right w:val="single" w:sz="4" w:space="0" w:color="auto"/>
            </w:tcBorders>
            <w:shd w:val="clear" w:color="auto" w:fill="auto"/>
            <w:vAlign w:val="center"/>
            <w:hideMark/>
          </w:tcPr>
          <w:p w14:paraId="04C7D026" w14:textId="77777777" w:rsidR="009C28E2" w:rsidRPr="009C28E2" w:rsidRDefault="009C28E2" w:rsidP="009C28E2">
            <w:pPr>
              <w:overflowPunct/>
              <w:autoSpaceDE/>
              <w:autoSpaceDN/>
              <w:adjustRightInd/>
              <w:spacing w:after="0"/>
              <w:jc w:val="center"/>
              <w:textAlignment w:val="auto"/>
              <w:rPr>
                <w:rFonts w:ascii="Calibri" w:hAnsi="Calibri" w:cs="Calibri"/>
                <w:b/>
                <w:bCs/>
                <w:color w:val="000000"/>
                <w:sz w:val="18"/>
                <w:szCs w:val="18"/>
              </w:rPr>
            </w:pPr>
            <w:r w:rsidRPr="009C28E2">
              <w:rPr>
                <w:rFonts w:ascii="Calibri" w:eastAsia="PMingLiU" w:hAnsi="Calibri" w:cs="Calibri"/>
                <w:b/>
                <w:bCs/>
                <w:color w:val="000000"/>
                <w:sz w:val="18"/>
                <w:szCs w:val="18"/>
              </w:rPr>
              <w:t>15</w:t>
            </w:r>
          </w:p>
        </w:tc>
        <w:tc>
          <w:tcPr>
            <w:tcW w:w="680" w:type="dxa"/>
            <w:tcBorders>
              <w:top w:val="nil"/>
              <w:left w:val="nil"/>
              <w:bottom w:val="single" w:sz="4" w:space="0" w:color="auto"/>
              <w:right w:val="single" w:sz="4" w:space="0" w:color="auto"/>
            </w:tcBorders>
            <w:shd w:val="clear" w:color="auto" w:fill="auto"/>
            <w:vAlign w:val="center"/>
            <w:hideMark/>
          </w:tcPr>
          <w:p w14:paraId="0088FBF4" w14:textId="77777777" w:rsidR="009C28E2" w:rsidRPr="009C28E2" w:rsidRDefault="009C28E2" w:rsidP="009C28E2">
            <w:pPr>
              <w:overflowPunct/>
              <w:autoSpaceDE/>
              <w:autoSpaceDN/>
              <w:adjustRightInd/>
              <w:spacing w:after="0"/>
              <w:jc w:val="center"/>
              <w:textAlignment w:val="auto"/>
              <w:rPr>
                <w:rFonts w:ascii="Calibri" w:hAnsi="Calibri" w:cs="Calibri"/>
                <w:b/>
                <w:bCs/>
                <w:color w:val="000000"/>
                <w:sz w:val="18"/>
                <w:szCs w:val="18"/>
              </w:rPr>
            </w:pPr>
            <w:r w:rsidRPr="009C28E2">
              <w:rPr>
                <w:rFonts w:ascii="Calibri" w:eastAsia="PMingLiU" w:hAnsi="Calibri" w:cs="Calibri"/>
                <w:b/>
                <w:bCs/>
                <w:color w:val="000000"/>
                <w:sz w:val="18"/>
                <w:szCs w:val="18"/>
              </w:rPr>
              <w:t>20</w:t>
            </w:r>
          </w:p>
        </w:tc>
        <w:tc>
          <w:tcPr>
            <w:tcW w:w="680" w:type="dxa"/>
            <w:tcBorders>
              <w:top w:val="nil"/>
              <w:left w:val="nil"/>
              <w:bottom w:val="single" w:sz="4" w:space="0" w:color="auto"/>
              <w:right w:val="single" w:sz="4" w:space="0" w:color="auto"/>
            </w:tcBorders>
            <w:shd w:val="clear" w:color="auto" w:fill="auto"/>
            <w:vAlign w:val="center"/>
            <w:hideMark/>
          </w:tcPr>
          <w:p w14:paraId="22367152" w14:textId="77777777" w:rsidR="009C28E2" w:rsidRPr="009C28E2" w:rsidRDefault="009C28E2" w:rsidP="009C28E2">
            <w:pPr>
              <w:overflowPunct/>
              <w:autoSpaceDE/>
              <w:autoSpaceDN/>
              <w:adjustRightInd/>
              <w:spacing w:after="0"/>
              <w:jc w:val="center"/>
              <w:textAlignment w:val="auto"/>
              <w:rPr>
                <w:rFonts w:ascii="Calibri" w:hAnsi="Calibri" w:cs="Calibri"/>
                <w:b/>
                <w:bCs/>
                <w:color w:val="000000"/>
                <w:sz w:val="18"/>
                <w:szCs w:val="18"/>
              </w:rPr>
            </w:pPr>
            <w:r w:rsidRPr="009C28E2">
              <w:rPr>
                <w:rFonts w:ascii="Calibri" w:eastAsia="PMingLiU" w:hAnsi="Calibri" w:cs="Calibri"/>
                <w:b/>
                <w:bCs/>
                <w:color w:val="000000"/>
                <w:sz w:val="18"/>
                <w:szCs w:val="18"/>
              </w:rPr>
              <w:t>25</w:t>
            </w:r>
          </w:p>
        </w:tc>
        <w:tc>
          <w:tcPr>
            <w:tcW w:w="680" w:type="dxa"/>
            <w:tcBorders>
              <w:top w:val="nil"/>
              <w:left w:val="nil"/>
              <w:bottom w:val="single" w:sz="4" w:space="0" w:color="auto"/>
              <w:right w:val="single" w:sz="4" w:space="0" w:color="auto"/>
            </w:tcBorders>
            <w:shd w:val="clear" w:color="auto" w:fill="auto"/>
            <w:vAlign w:val="center"/>
            <w:hideMark/>
          </w:tcPr>
          <w:p w14:paraId="1DA61AAD" w14:textId="77777777" w:rsidR="009C28E2" w:rsidRPr="009C28E2" w:rsidRDefault="009C28E2" w:rsidP="009C28E2">
            <w:pPr>
              <w:overflowPunct/>
              <w:autoSpaceDE/>
              <w:autoSpaceDN/>
              <w:adjustRightInd/>
              <w:spacing w:after="0"/>
              <w:jc w:val="right"/>
              <w:textAlignment w:val="auto"/>
              <w:rPr>
                <w:rFonts w:ascii="Calibri" w:hAnsi="Calibri" w:cs="Calibri"/>
                <w:b/>
                <w:bCs/>
                <w:color w:val="000000"/>
                <w:sz w:val="18"/>
                <w:szCs w:val="18"/>
              </w:rPr>
            </w:pPr>
            <w:r w:rsidRPr="009C28E2">
              <w:rPr>
                <w:rFonts w:ascii="Calibri" w:eastAsia="PMingLiU" w:hAnsi="Calibri" w:cs="Calibri"/>
                <w:b/>
                <w:bCs/>
                <w:color w:val="000000"/>
                <w:sz w:val="18"/>
                <w:szCs w:val="18"/>
              </w:rPr>
              <w:t>30</w:t>
            </w:r>
          </w:p>
        </w:tc>
        <w:tc>
          <w:tcPr>
            <w:tcW w:w="680" w:type="dxa"/>
            <w:tcBorders>
              <w:top w:val="nil"/>
              <w:left w:val="nil"/>
              <w:bottom w:val="single" w:sz="4" w:space="0" w:color="auto"/>
              <w:right w:val="single" w:sz="4" w:space="0" w:color="auto"/>
            </w:tcBorders>
            <w:shd w:val="clear" w:color="auto" w:fill="auto"/>
            <w:vAlign w:val="center"/>
            <w:hideMark/>
          </w:tcPr>
          <w:p w14:paraId="085A338F" w14:textId="77777777" w:rsidR="009C28E2" w:rsidRPr="009C28E2" w:rsidRDefault="009C28E2" w:rsidP="009C28E2">
            <w:pPr>
              <w:overflowPunct/>
              <w:autoSpaceDE/>
              <w:autoSpaceDN/>
              <w:adjustRightInd/>
              <w:spacing w:after="0"/>
              <w:jc w:val="right"/>
              <w:textAlignment w:val="auto"/>
              <w:rPr>
                <w:rFonts w:ascii="Calibri" w:hAnsi="Calibri" w:cs="Calibri"/>
                <w:b/>
                <w:bCs/>
                <w:color w:val="000000"/>
                <w:sz w:val="18"/>
                <w:szCs w:val="18"/>
              </w:rPr>
            </w:pPr>
            <w:r w:rsidRPr="009C28E2">
              <w:rPr>
                <w:rFonts w:ascii="Calibri" w:eastAsia="PMingLiU" w:hAnsi="Calibri" w:cs="Calibri"/>
                <w:b/>
                <w:bCs/>
                <w:color w:val="000000"/>
                <w:sz w:val="18"/>
                <w:szCs w:val="18"/>
              </w:rPr>
              <w:t>35</w:t>
            </w:r>
          </w:p>
        </w:tc>
        <w:tc>
          <w:tcPr>
            <w:tcW w:w="680" w:type="dxa"/>
            <w:tcBorders>
              <w:top w:val="nil"/>
              <w:left w:val="nil"/>
              <w:bottom w:val="single" w:sz="4" w:space="0" w:color="auto"/>
              <w:right w:val="single" w:sz="4" w:space="0" w:color="auto"/>
            </w:tcBorders>
            <w:shd w:val="clear" w:color="auto" w:fill="auto"/>
            <w:vAlign w:val="center"/>
            <w:hideMark/>
          </w:tcPr>
          <w:p w14:paraId="0778A279" w14:textId="77777777" w:rsidR="009C28E2" w:rsidRPr="009C28E2" w:rsidRDefault="009C28E2" w:rsidP="009C28E2">
            <w:pPr>
              <w:overflowPunct/>
              <w:autoSpaceDE/>
              <w:autoSpaceDN/>
              <w:adjustRightInd/>
              <w:spacing w:after="0"/>
              <w:jc w:val="center"/>
              <w:textAlignment w:val="auto"/>
              <w:rPr>
                <w:rFonts w:ascii="Calibri" w:hAnsi="Calibri" w:cs="Calibri"/>
                <w:b/>
                <w:bCs/>
                <w:color w:val="000000"/>
                <w:sz w:val="18"/>
                <w:szCs w:val="18"/>
              </w:rPr>
            </w:pPr>
            <w:r w:rsidRPr="009C28E2">
              <w:rPr>
                <w:rFonts w:ascii="Calibri" w:eastAsia="PMingLiU" w:hAnsi="Calibri" w:cs="Calibri"/>
                <w:b/>
                <w:bCs/>
                <w:color w:val="000000"/>
                <w:sz w:val="18"/>
                <w:szCs w:val="18"/>
              </w:rPr>
              <w:t>40</w:t>
            </w:r>
          </w:p>
        </w:tc>
        <w:tc>
          <w:tcPr>
            <w:tcW w:w="680" w:type="dxa"/>
            <w:tcBorders>
              <w:top w:val="nil"/>
              <w:left w:val="nil"/>
              <w:bottom w:val="single" w:sz="4" w:space="0" w:color="auto"/>
              <w:right w:val="single" w:sz="4" w:space="0" w:color="auto"/>
            </w:tcBorders>
            <w:shd w:val="clear" w:color="auto" w:fill="auto"/>
            <w:vAlign w:val="center"/>
            <w:hideMark/>
          </w:tcPr>
          <w:p w14:paraId="39FDA98D" w14:textId="77777777" w:rsidR="009C28E2" w:rsidRPr="009C28E2" w:rsidRDefault="009C28E2" w:rsidP="009C28E2">
            <w:pPr>
              <w:overflowPunct/>
              <w:autoSpaceDE/>
              <w:autoSpaceDN/>
              <w:adjustRightInd/>
              <w:spacing w:after="0"/>
              <w:jc w:val="right"/>
              <w:textAlignment w:val="auto"/>
              <w:rPr>
                <w:rFonts w:ascii="Calibri" w:hAnsi="Calibri" w:cs="Calibri"/>
                <w:b/>
                <w:bCs/>
                <w:color w:val="000000"/>
                <w:sz w:val="18"/>
                <w:szCs w:val="18"/>
              </w:rPr>
            </w:pPr>
            <w:r w:rsidRPr="009C28E2">
              <w:rPr>
                <w:rFonts w:ascii="Calibri" w:eastAsia="PMingLiU" w:hAnsi="Calibri" w:cs="Calibri"/>
                <w:b/>
                <w:bCs/>
                <w:color w:val="000000"/>
                <w:sz w:val="18"/>
                <w:szCs w:val="18"/>
              </w:rPr>
              <w:t>45</w:t>
            </w:r>
          </w:p>
        </w:tc>
      </w:tr>
      <w:tr w:rsidR="009C28E2" w:rsidRPr="009C28E2" w14:paraId="2CED3314" w14:textId="77777777" w:rsidTr="009C28E2">
        <w:trPr>
          <w:trHeight w:val="70"/>
          <w:jc w:val="center"/>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1C592" w14:textId="77777777" w:rsidR="009C28E2" w:rsidRPr="009C28E2" w:rsidRDefault="009C28E2" w:rsidP="009C28E2">
            <w:pPr>
              <w:overflowPunct/>
              <w:autoSpaceDE/>
              <w:autoSpaceDN/>
              <w:adjustRightInd/>
              <w:spacing w:after="0"/>
              <w:jc w:val="center"/>
              <w:textAlignment w:val="auto"/>
              <w:rPr>
                <w:rFonts w:ascii="Calibri" w:hAnsi="Calibri" w:cs="Calibri"/>
                <w:b/>
                <w:bCs/>
                <w:color w:val="000000"/>
                <w:sz w:val="18"/>
                <w:szCs w:val="18"/>
              </w:rPr>
            </w:pPr>
            <w:r w:rsidRPr="009C28E2">
              <w:rPr>
                <w:rFonts w:ascii="Calibri" w:hAnsi="Calibri" w:cs="Calibri"/>
                <w:b/>
                <w:bCs/>
                <w:color w:val="000000"/>
                <w:sz w:val="18"/>
                <w:szCs w:val="18"/>
              </w:rPr>
              <w:t>Band</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14:paraId="32C558EB" w14:textId="17744C41" w:rsidR="009C28E2" w:rsidRPr="009C28E2" w:rsidRDefault="009C28E2" w:rsidP="009C28E2">
            <w:pPr>
              <w:overflowPunct/>
              <w:autoSpaceDE/>
              <w:autoSpaceDN/>
              <w:adjustRightInd/>
              <w:spacing w:after="0"/>
              <w:jc w:val="center"/>
              <w:textAlignment w:val="auto"/>
              <w:rPr>
                <w:rFonts w:ascii="Calibri" w:hAnsi="Calibri" w:cs="Calibri"/>
                <w:b/>
                <w:bCs/>
                <w:color w:val="000000"/>
                <w:sz w:val="18"/>
                <w:szCs w:val="18"/>
              </w:rPr>
            </w:pPr>
            <w:r w:rsidRPr="009C28E2">
              <w:rPr>
                <w:rFonts w:ascii="Calibri" w:hAnsi="Calibri" w:cs="Calibri"/>
                <w:b/>
                <w:bCs/>
                <w:color w:val="000000"/>
                <w:sz w:val="18"/>
                <w:szCs w:val="18"/>
              </w:rPr>
              <w:t xml:space="preserve">duplex </w:t>
            </w:r>
            <w:r>
              <w:rPr>
                <w:rFonts w:ascii="Calibri" w:hAnsi="Calibri" w:cs="Calibri"/>
                <w:b/>
                <w:bCs/>
                <w:color w:val="000000"/>
                <w:sz w:val="18"/>
                <w:szCs w:val="18"/>
              </w:rPr>
              <w:t>[</w:t>
            </w:r>
            <w:r w:rsidRPr="009C28E2">
              <w:rPr>
                <w:rFonts w:ascii="Calibri" w:hAnsi="Calibri" w:cs="Calibri"/>
                <w:b/>
                <w:bCs/>
                <w:color w:val="000000"/>
                <w:sz w:val="18"/>
                <w:szCs w:val="18"/>
              </w:rPr>
              <w:t>MHz]</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57F0F1E8" w14:textId="77777777" w:rsidR="009C28E2" w:rsidRPr="009C28E2" w:rsidRDefault="009C28E2" w:rsidP="009C28E2">
            <w:pPr>
              <w:overflowPunct/>
              <w:autoSpaceDE/>
              <w:autoSpaceDN/>
              <w:adjustRightInd/>
              <w:spacing w:after="0"/>
              <w:jc w:val="center"/>
              <w:textAlignment w:val="auto"/>
              <w:rPr>
                <w:rFonts w:ascii="Calibri" w:hAnsi="Calibri" w:cs="Calibri"/>
                <w:b/>
                <w:bCs/>
                <w:color w:val="000000"/>
                <w:sz w:val="18"/>
                <w:szCs w:val="18"/>
              </w:rPr>
            </w:pPr>
            <w:r w:rsidRPr="009C28E2">
              <w:rPr>
                <w:rFonts w:ascii="Calibri" w:eastAsia="PMingLiU" w:hAnsi="Calibri" w:cs="Calibri"/>
                <w:b/>
                <w:bCs/>
                <w:color w:val="000000"/>
                <w:sz w:val="18"/>
                <w:szCs w:val="18"/>
              </w:rPr>
              <w:t>case</w:t>
            </w:r>
          </w:p>
        </w:tc>
        <w:tc>
          <w:tcPr>
            <w:tcW w:w="680" w:type="dxa"/>
            <w:tcBorders>
              <w:top w:val="nil"/>
              <w:left w:val="nil"/>
              <w:bottom w:val="single" w:sz="4" w:space="0" w:color="auto"/>
              <w:right w:val="single" w:sz="4" w:space="0" w:color="auto"/>
            </w:tcBorders>
            <w:shd w:val="clear" w:color="auto" w:fill="auto"/>
            <w:vAlign w:val="center"/>
            <w:hideMark/>
          </w:tcPr>
          <w:p w14:paraId="517D3682" w14:textId="77777777" w:rsidR="009C28E2" w:rsidRPr="009C28E2" w:rsidRDefault="009C28E2" w:rsidP="009C28E2">
            <w:pPr>
              <w:overflowPunct/>
              <w:autoSpaceDE/>
              <w:autoSpaceDN/>
              <w:adjustRightInd/>
              <w:spacing w:after="0"/>
              <w:jc w:val="center"/>
              <w:textAlignment w:val="auto"/>
              <w:rPr>
                <w:rFonts w:ascii="Calibri" w:hAnsi="Calibri" w:cs="Calibri"/>
                <w:b/>
                <w:bCs/>
                <w:color w:val="000000"/>
                <w:sz w:val="18"/>
                <w:szCs w:val="18"/>
              </w:rPr>
            </w:pPr>
            <w:r w:rsidRPr="009C28E2">
              <w:rPr>
                <w:rFonts w:ascii="Calibri" w:hAnsi="Calibri" w:cs="Calibri"/>
                <w:b/>
                <w:bCs/>
                <w:color w:val="000000"/>
                <w:sz w:val="18"/>
                <w:szCs w:val="18"/>
              </w:rPr>
              <w:t>25</w:t>
            </w:r>
          </w:p>
        </w:tc>
        <w:tc>
          <w:tcPr>
            <w:tcW w:w="640" w:type="dxa"/>
            <w:tcBorders>
              <w:top w:val="nil"/>
              <w:left w:val="nil"/>
              <w:bottom w:val="single" w:sz="4" w:space="0" w:color="auto"/>
              <w:right w:val="single" w:sz="4" w:space="0" w:color="auto"/>
            </w:tcBorders>
            <w:shd w:val="clear" w:color="auto" w:fill="auto"/>
            <w:vAlign w:val="center"/>
            <w:hideMark/>
          </w:tcPr>
          <w:p w14:paraId="4BA10247" w14:textId="77777777" w:rsidR="009C28E2" w:rsidRPr="009C28E2" w:rsidRDefault="009C28E2" w:rsidP="009C28E2">
            <w:pPr>
              <w:overflowPunct/>
              <w:autoSpaceDE/>
              <w:autoSpaceDN/>
              <w:adjustRightInd/>
              <w:spacing w:after="0"/>
              <w:jc w:val="center"/>
              <w:textAlignment w:val="auto"/>
              <w:rPr>
                <w:rFonts w:ascii="Calibri" w:hAnsi="Calibri" w:cs="Calibri"/>
                <w:b/>
                <w:bCs/>
                <w:color w:val="000000"/>
                <w:sz w:val="18"/>
                <w:szCs w:val="18"/>
              </w:rPr>
            </w:pPr>
            <w:r w:rsidRPr="009C28E2">
              <w:rPr>
                <w:rFonts w:ascii="Calibri" w:hAnsi="Calibri" w:cs="Calibri"/>
                <w:b/>
                <w:bCs/>
                <w:color w:val="000000"/>
                <w:sz w:val="18"/>
                <w:szCs w:val="18"/>
              </w:rPr>
              <w:t>52</w:t>
            </w:r>
          </w:p>
        </w:tc>
        <w:tc>
          <w:tcPr>
            <w:tcW w:w="680" w:type="dxa"/>
            <w:tcBorders>
              <w:top w:val="nil"/>
              <w:left w:val="nil"/>
              <w:bottom w:val="single" w:sz="4" w:space="0" w:color="auto"/>
              <w:right w:val="single" w:sz="4" w:space="0" w:color="auto"/>
            </w:tcBorders>
            <w:shd w:val="clear" w:color="auto" w:fill="auto"/>
            <w:vAlign w:val="center"/>
            <w:hideMark/>
          </w:tcPr>
          <w:p w14:paraId="7AE12A97" w14:textId="77777777" w:rsidR="009C28E2" w:rsidRPr="009C28E2" w:rsidRDefault="009C28E2" w:rsidP="009C28E2">
            <w:pPr>
              <w:overflowPunct/>
              <w:autoSpaceDE/>
              <w:autoSpaceDN/>
              <w:adjustRightInd/>
              <w:spacing w:after="0"/>
              <w:jc w:val="center"/>
              <w:textAlignment w:val="auto"/>
              <w:rPr>
                <w:rFonts w:ascii="Calibri" w:hAnsi="Calibri" w:cs="Calibri"/>
                <w:b/>
                <w:bCs/>
                <w:color w:val="000000"/>
                <w:sz w:val="18"/>
                <w:szCs w:val="18"/>
              </w:rPr>
            </w:pPr>
            <w:r w:rsidRPr="009C28E2">
              <w:rPr>
                <w:rFonts w:ascii="Calibri" w:hAnsi="Calibri" w:cs="Calibri"/>
                <w:b/>
                <w:bCs/>
                <w:color w:val="000000"/>
                <w:sz w:val="18"/>
                <w:szCs w:val="18"/>
              </w:rPr>
              <w:t>79</w:t>
            </w:r>
          </w:p>
        </w:tc>
        <w:tc>
          <w:tcPr>
            <w:tcW w:w="680" w:type="dxa"/>
            <w:tcBorders>
              <w:top w:val="nil"/>
              <w:left w:val="nil"/>
              <w:bottom w:val="single" w:sz="4" w:space="0" w:color="auto"/>
              <w:right w:val="single" w:sz="4" w:space="0" w:color="auto"/>
            </w:tcBorders>
            <w:shd w:val="clear" w:color="auto" w:fill="auto"/>
            <w:vAlign w:val="center"/>
            <w:hideMark/>
          </w:tcPr>
          <w:p w14:paraId="2B2BEA07" w14:textId="77777777" w:rsidR="009C28E2" w:rsidRPr="009C28E2" w:rsidRDefault="009C28E2" w:rsidP="009C28E2">
            <w:pPr>
              <w:overflowPunct/>
              <w:autoSpaceDE/>
              <w:autoSpaceDN/>
              <w:adjustRightInd/>
              <w:spacing w:after="0"/>
              <w:jc w:val="center"/>
              <w:textAlignment w:val="auto"/>
              <w:rPr>
                <w:rFonts w:ascii="Calibri" w:hAnsi="Calibri" w:cs="Calibri"/>
                <w:b/>
                <w:bCs/>
                <w:color w:val="000000"/>
                <w:sz w:val="18"/>
                <w:szCs w:val="18"/>
              </w:rPr>
            </w:pPr>
            <w:r w:rsidRPr="009C28E2">
              <w:rPr>
                <w:rFonts w:ascii="Calibri" w:hAnsi="Calibri" w:cs="Calibri"/>
                <w:b/>
                <w:bCs/>
                <w:color w:val="000000"/>
                <w:sz w:val="18"/>
                <w:szCs w:val="18"/>
              </w:rPr>
              <w:t>106</w:t>
            </w:r>
          </w:p>
        </w:tc>
        <w:tc>
          <w:tcPr>
            <w:tcW w:w="680" w:type="dxa"/>
            <w:tcBorders>
              <w:top w:val="nil"/>
              <w:left w:val="nil"/>
              <w:bottom w:val="single" w:sz="4" w:space="0" w:color="auto"/>
              <w:right w:val="single" w:sz="4" w:space="0" w:color="auto"/>
            </w:tcBorders>
            <w:shd w:val="clear" w:color="auto" w:fill="auto"/>
            <w:vAlign w:val="center"/>
            <w:hideMark/>
          </w:tcPr>
          <w:p w14:paraId="4EBDDC18" w14:textId="77777777" w:rsidR="009C28E2" w:rsidRPr="009C28E2" w:rsidRDefault="009C28E2" w:rsidP="009C28E2">
            <w:pPr>
              <w:overflowPunct/>
              <w:autoSpaceDE/>
              <w:autoSpaceDN/>
              <w:adjustRightInd/>
              <w:spacing w:after="0"/>
              <w:jc w:val="center"/>
              <w:textAlignment w:val="auto"/>
              <w:rPr>
                <w:rFonts w:ascii="Calibri" w:hAnsi="Calibri" w:cs="Calibri"/>
                <w:b/>
                <w:bCs/>
                <w:color w:val="000000"/>
                <w:sz w:val="18"/>
                <w:szCs w:val="18"/>
              </w:rPr>
            </w:pPr>
            <w:r w:rsidRPr="009C28E2">
              <w:rPr>
                <w:rFonts w:ascii="Calibri" w:hAnsi="Calibri" w:cs="Calibri"/>
                <w:b/>
                <w:bCs/>
                <w:color w:val="000000"/>
                <w:sz w:val="18"/>
                <w:szCs w:val="18"/>
              </w:rPr>
              <w:t>133</w:t>
            </w:r>
          </w:p>
        </w:tc>
        <w:tc>
          <w:tcPr>
            <w:tcW w:w="680" w:type="dxa"/>
            <w:tcBorders>
              <w:top w:val="nil"/>
              <w:left w:val="nil"/>
              <w:bottom w:val="single" w:sz="4" w:space="0" w:color="auto"/>
              <w:right w:val="single" w:sz="4" w:space="0" w:color="auto"/>
            </w:tcBorders>
            <w:shd w:val="clear" w:color="auto" w:fill="auto"/>
            <w:vAlign w:val="center"/>
            <w:hideMark/>
          </w:tcPr>
          <w:p w14:paraId="64B15E7B" w14:textId="77777777" w:rsidR="009C28E2" w:rsidRPr="009C28E2" w:rsidRDefault="009C28E2" w:rsidP="009C28E2">
            <w:pPr>
              <w:overflowPunct/>
              <w:autoSpaceDE/>
              <w:autoSpaceDN/>
              <w:adjustRightInd/>
              <w:spacing w:after="0"/>
              <w:jc w:val="center"/>
              <w:textAlignment w:val="auto"/>
              <w:rPr>
                <w:rFonts w:ascii="Calibri" w:hAnsi="Calibri" w:cs="Calibri"/>
                <w:b/>
                <w:bCs/>
                <w:color w:val="000000"/>
                <w:sz w:val="18"/>
                <w:szCs w:val="18"/>
              </w:rPr>
            </w:pPr>
            <w:r w:rsidRPr="009C28E2">
              <w:rPr>
                <w:rFonts w:ascii="Calibri" w:hAnsi="Calibri" w:cs="Calibri"/>
                <w:b/>
                <w:bCs/>
                <w:color w:val="000000"/>
                <w:sz w:val="18"/>
                <w:szCs w:val="18"/>
              </w:rPr>
              <w:t>160</w:t>
            </w:r>
          </w:p>
        </w:tc>
        <w:tc>
          <w:tcPr>
            <w:tcW w:w="680" w:type="dxa"/>
            <w:tcBorders>
              <w:top w:val="nil"/>
              <w:left w:val="nil"/>
              <w:bottom w:val="single" w:sz="4" w:space="0" w:color="auto"/>
              <w:right w:val="single" w:sz="4" w:space="0" w:color="auto"/>
            </w:tcBorders>
            <w:shd w:val="clear" w:color="auto" w:fill="auto"/>
            <w:vAlign w:val="center"/>
            <w:hideMark/>
          </w:tcPr>
          <w:p w14:paraId="038285C1" w14:textId="77777777" w:rsidR="009C28E2" w:rsidRPr="009C28E2" w:rsidRDefault="009C28E2" w:rsidP="009C28E2">
            <w:pPr>
              <w:overflowPunct/>
              <w:autoSpaceDE/>
              <w:autoSpaceDN/>
              <w:adjustRightInd/>
              <w:spacing w:after="0"/>
              <w:jc w:val="center"/>
              <w:textAlignment w:val="auto"/>
              <w:rPr>
                <w:rFonts w:ascii="Calibri" w:hAnsi="Calibri" w:cs="Calibri"/>
                <w:b/>
                <w:bCs/>
                <w:color w:val="000000"/>
                <w:sz w:val="18"/>
                <w:szCs w:val="18"/>
              </w:rPr>
            </w:pPr>
            <w:r w:rsidRPr="009C28E2">
              <w:rPr>
                <w:rFonts w:ascii="Calibri" w:hAnsi="Calibri" w:cs="Calibri"/>
                <w:b/>
                <w:bCs/>
                <w:color w:val="000000"/>
                <w:sz w:val="18"/>
                <w:szCs w:val="18"/>
              </w:rPr>
              <w:t>188</w:t>
            </w:r>
          </w:p>
        </w:tc>
        <w:tc>
          <w:tcPr>
            <w:tcW w:w="680" w:type="dxa"/>
            <w:tcBorders>
              <w:top w:val="nil"/>
              <w:left w:val="nil"/>
              <w:bottom w:val="single" w:sz="4" w:space="0" w:color="auto"/>
              <w:right w:val="single" w:sz="4" w:space="0" w:color="auto"/>
            </w:tcBorders>
            <w:shd w:val="clear" w:color="auto" w:fill="auto"/>
            <w:vAlign w:val="center"/>
            <w:hideMark/>
          </w:tcPr>
          <w:p w14:paraId="4151F443" w14:textId="77777777" w:rsidR="009C28E2" w:rsidRPr="009C28E2" w:rsidRDefault="009C28E2" w:rsidP="009C28E2">
            <w:pPr>
              <w:overflowPunct/>
              <w:autoSpaceDE/>
              <w:autoSpaceDN/>
              <w:adjustRightInd/>
              <w:spacing w:after="0"/>
              <w:jc w:val="center"/>
              <w:textAlignment w:val="auto"/>
              <w:rPr>
                <w:rFonts w:ascii="Calibri" w:hAnsi="Calibri" w:cs="Calibri"/>
                <w:b/>
                <w:bCs/>
                <w:color w:val="000000"/>
                <w:sz w:val="18"/>
                <w:szCs w:val="18"/>
              </w:rPr>
            </w:pPr>
            <w:r w:rsidRPr="009C28E2">
              <w:rPr>
                <w:rFonts w:ascii="Calibri" w:hAnsi="Calibri" w:cs="Calibri"/>
                <w:b/>
                <w:bCs/>
                <w:color w:val="000000"/>
                <w:sz w:val="18"/>
                <w:szCs w:val="18"/>
              </w:rPr>
              <w:t>216</w:t>
            </w:r>
          </w:p>
        </w:tc>
        <w:tc>
          <w:tcPr>
            <w:tcW w:w="680" w:type="dxa"/>
            <w:tcBorders>
              <w:top w:val="nil"/>
              <w:left w:val="nil"/>
              <w:bottom w:val="single" w:sz="4" w:space="0" w:color="auto"/>
              <w:right w:val="single" w:sz="4" w:space="0" w:color="auto"/>
            </w:tcBorders>
            <w:shd w:val="clear" w:color="auto" w:fill="auto"/>
            <w:vAlign w:val="center"/>
            <w:hideMark/>
          </w:tcPr>
          <w:p w14:paraId="00147C32" w14:textId="77777777" w:rsidR="009C28E2" w:rsidRPr="009C28E2" w:rsidRDefault="009C28E2" w:rsidP="009C28E2">
            <w:pPr>
              <w:overflowPunct/>
              <w:autoSpaceDE/>
              <w:autoSpaceDN/>
              <w:adjustRightInd/>
              <w:spacing w:after="0"/>
              <w:jc w:val="center"/>
              <w:textAlignment w:val="auto"/>
              <w:rPr>
                <w:rFonts w:ascii="Calibri" w:hAnsi="Calibri" w:cs="Calibri"/>
                <w:b/>
                <w:bCs/>
                <w:color w:val="000000"/>
                <w:sz w:val="18"/>
                <w:szCs w:val="18"/>
              </w:rPr>
            </w:pPr>
            <w:r w:rsidRPr="009C28E2">
              <w:rPr>
                <w:rFonts w:ascii="Calibri" w:hAnsi="Calibri" w:cs="Calibri"/>
                <w:b/>
                <w:bCs/>
                <w:color w:val="000000"/>
                <w:sz w:val="18"/>
                <w:szCs w:val="18"/>
              </w:rPr>
              <w:t>242</w:t>
            </w:r>
          </w:p>
        </w:tc>
      </w:tr>
      <w:tr w:rsidR="009C28E2" w:rsidRPr="009C28E2" w14:paraId="708937F0" w14:textId="77777777" w:rsidTr="009C28E2">
        <w:trPr>
          <w:trHeight w:val="70"/>
          <w:jc w:val="center"/>
        </w:trPr>
        <w:tc>
          <w:tcPr>
            <w:tcW w:w="689" w:type="dxa"/>
            <w:vMerge w:val="restart"/>
            <w:tcBorders>
              <w:top w:val="nil"/>
              <w:left w:val="single" w:sz="4" w:space="0" w:color="auto"/>
              <w:bottom w:val="single" w:sz="4" w:space="0" w:color="auto"/>
              <w:right w:val="single" w:sz="4" w:space="0" w:color="auto"/>
            </w:tcBorders>
            <w:shd w:val="clear" w:color="auto" w:fill="auto"/>
            <w:vAlign w:val="center"/>
            <w:hideMark/>
          </w:tcPr>
          <w:p w14:paraId="22CD407D"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n2</w:t>
            </w:r>
          </w:p>
        </w:tc>
        <w:tc>
          <w:tcPr>
            <w:tcW w:w="1313" w:type="dxa"/>
            <w:vMerge w:val="restart"/>
            <w:tcBorders>
              <w:top w:val="nil"/>
              <w:left w:val="single" w:sz="4" w:space="0" w:color="auto"/>
              <w:bottom w:val="single" w:sz="4" w:space="0" w:color="auto"/>
              <w:right w:val="single" w:sz="4" w:space="0" w:color="auto"/>
            </w:tcBorders>
            <w:shd w:val="clear" w:color="000000" w:fill="FFC000"/>
            <w:vAlign w:val="center"/>
            <w:hideMark/>
          </w:tcPr>
          <w:p w14:paraId="372FC1B2"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80</w:t>
            </w:r>
          </w:p>
        </w:tc>
        <w:tc>
          <w:tcPr>
            <w:tcW w:w="1411" w:type="dxa"/>
            <w:tcBorders>
              <w:top w:val="nil"/>
              <w:left w:val="nil"/>
              <w:bottom w:val="single" w:sz="4" w:space="0" w:color="auto"/>
              <w:right w:val="single" w:sz="4" w:space="0" w:color="auto"/>
            </w:tcBorders>
            <w:shd w:val="clear" w:color="auto" w:fill="auto"/>
            <w:vAlign w:val="center"/>
            <w:hideMark/>
          </w:tcPr>
          <w:p w14:paraId="3E268BAD"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15kHz</w:t>
            </w:r>
          </w:p>
        </w:tc>
        <w:tc>
          <w:tcPr>
            <w:tcW w:w="680" w:type="dxa"/>
            <w:tcBorders>
              <w:top w:val="nil"/>
              <w:left w:val="nil"/>
              <w:bottom w:val="single" w:sz="4" w:space="0" w:color="auto"/>
              <w:right w:val="single" w:sz="4" w:space="0" w:color="auto"/>
            </w:tcBorders>
            <w:shd w:val="clear" w:color="auto" w:fill="auto"/>
            <w:vAlign w:val="center"/>
            <w:hideMark/>
          </w:tcPr>
          <w:p w14:paraId="67C946A9"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-98</w:t>
            </w:r>
          </w:p>
        </w:tc>
        <w:tc>
          <w:tcPr>
            <w:tcW w:w="640" w:type="dxa"/>
            <w:tcBorders>
              <w:top w:val="nil"/>
              <w:left w:val="nil"/>
              <w:bottom w:val="single" w:sz="4" w:space="0" w:color="auto"/>
              <w:right w:val="single" w:sz="4" w:space="0" w:color="auto"/>
            </w:tcBorders>
            <w:shd w:val="clear" w:color="auto" w:fill="auto"/>
            <w:vAlign w:val="center"/>
            <w:hideMark/>
          </w:tcPr>
          <w:p w14:paraId="2FA8A0EE"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-94.8</w:t>
            </w:r>
          </w:p>
        </w:tc>
        <w:tc>
          <w:tcPr>
            <w:tcW w:w="680" w:type="dxa"/>
            <w:tcBorders>
              <w:top w:val="nil"/>
              <w:left w:val="nil"/>
              <w:bottom w:val="single" w:sz="4" w:space="0" w:color="auto"/>
              <w:right w:val="single" w:sz="4" w:space="0" w:color="auto"/>
            </w:tcBorders>
            <w:shd w:val="clear" w:color="auto" w:fill="auto"/>
            <w:vAlign w:val="center"/>
            <w:hideMark/>
          </w:tcPr>
          <w:p w14:paraId="733294A3"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-93</w:t>
            </w:r>
          </w:p>
        </w:tc>
        <w:tc>
          <w:tcPr>
            <w:tcW w:w="680" w:type="dxa"/>
            <w:tcBorders>
              <w:top w:val="nil"/>
              <w:left w:val="nil"/>
              <w:bottom w:val="single" w:sz="4" w:space="0" w:color="auto"/>
              <w:right w:val="single" w:sz="4" w:space="0" w:color="auto"/>
            </w:tcBorders>
            <w:shd w:val="clear" w:color="auto" w:fill="auto"/>
            <w:vAlign w:val="center"/>
            <w:hideMark/>
          </w:tcPr>
          <w:p w14:paraId="767D2AAC"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-91.8</w:t>
            </w:r>
          </w:p>
        </w:tc>
        <w:tc>
          <w:tcPr>
            <w:tcW w:w="680" w:type="dxa"/>
            <w:tcBorders>
              <w:top w:val="nil"/>
              <w:left w:val="nil"/>
              <w:bottom w:val="single" w:sz="4" w:space="0" w:color="auto"/>
              <w:right w:val="single" w:sz="4" w:space="0" w:color="auto"/>
            </w:tcBorders>
            <w:shd w:val="clear" w:color="auto" w:fill="auto"/>
            <w:vAlign w:val="center"/>
            <w:hideMark/>
          </w:tcPr>
          <w:p w14:paraId="3ADAF342"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lang w:val="en-GB"/>
              </w:rPr>
              <w:t>-90.7</w:t>
            </w:r>
          </w:p>
        </w:tc>
        <w:tc>
          <w:tcPr>
            <w:tcW w:w="680" w:type="dxa"/>
            <w:tcBorders>
              <w:top w:val="nil"/>
              <w:left w:val="nil"/>
              <w:bottom w:val="single" w:sz="4" w:space="0" w:color="auto"/>
              <w:right w:val="single" w:sz="4" w:space="0" w:color="auto"/>
            </w:tcBorders>
            <w:shd w:val="clear" w:color="auto" w:fill="auto"/>
            <w:vAlign w:val="center"/>
            <w:hideMark/>
          </w:tcPr>
          <w:p w14:paraId="7CB2FEAB"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lang w:val="en-GB"/>
              </w:rPr>
              <w:t>-84.1</w:t>
            </w:r>
          </w:p>
        </w:tc>
        <w:tc>
          <w:tcPr>
            <w:tcW w:w="680" w:type="dxa"/>
            <w:tcBorders>
              <w:top w:val="nil"/>
              <w:left w:val="nil"/>
              <w:bottom w:val="single" w:sz="4" w:space="0" w:color="auto"/>
              <w:right w:val="single" w:sz="4" w:space="0" w:color="auto"/>
            </w:tcBorders>
            <w:shd w:val="clear" w:color="auto" w:fill="auto"/>
            <w:vAlign w:val="center"/>
            <w:hideMark/>
          </w:tcPr>
          <w:p w14:paraId="79E0E233"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-83.6</w:t>
            </w:r>
          </w:p>
        </w:tc>
        <w:tc>
          <w:tcPr>
            <w:tcW w:w="680" w:type="dxa"/>
            <w:tcBorders>
              <w:top w:val="nil"/>
              <w:left w:val="nil"/>
              <w:bottom w:val="single" w:sz="4" w:space="0" w:color="auto"/>
              <w:right w:val="single" w:sz="4" w:space="0" w:color="auto"/>
            </w:tcBorders>
            <w:shd w:val="clear" w:color="auto" w:fill="auto"/>
            <w:vAlign w:val="center"/>
            <w:hideMark/>
          </w:tcPr>
          <w:p w14:paraId="4352B6F0"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lang w:val="en-GB"/>
              </w:rPr>
              <w:t>-81.5</w:t>
            </w:r>
          </w:p>
        </w:tc>
        <w:tc>
          <w:tcPr>
            <w:tcW w:w="680" w:type="dxa"/>
            <w:tcBorders>
              <w:top w:val="nil"/>
              <w:left w:val="nil"/>
              <w:bottom w:val="single" w:sz="4" w:space="0" w:color="auto"/>
              <w:right w:val="single" w:sz="4" w:space="0" w:color="auto"/>
            </w:tcBorders>
            <w:shd w:val="clear" w:color="auto" w:fill="auto"/>
            <w:vAlign w:val="center"/>
            <w:hideMark/>
          </w:tcPr>
          <w:p w14:paraId="5740EB21"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 </w:t>
            </w:r>
          </w:p>
        </w:tc>
      </w:tr>
      <w:tr w:rsidR="009C28E2" w:rsidRPr="009C28E2" w14:paraId="140319B3" w14:textId="77777777" w:rsidTr="009C28E2">
        <w:trPr>
          <w:trHeight w:val="70"/>
          <w:jc w:val="center"/>
        </w:trPr>
        <w:tc>
          <w:tcPr>
            <w:tcW w:w="689" w:type="dxa"/>
            <w:vMerge/>
            <w:tcBorders>
              <w:top w:val="nil"/>
              <w:left w:val="single" w:sz="4" w:space="0" w:color="auto"/>
              <w:bottom w:val="single" w:sz="4" w:space="0" w:color="auto"/>
              <w:right w:val="single" w:sz="4" w:space="0" w:color="auto"/>
            </w:tcBorders>
            <w:vAlign w:val="center"/>
            <w:hideMark/>
          </w:tcPr>
          <w:p w14:paraId="5B33E20E" w14:textId="77777777" w:rsidR="009C28E2" w:rsidRPr="009C28E2" w:rsidRDefault="009C28E2" w:rsidP="009C28E2">
            <w:pPr>
              <w:overflowPunct/>
              <w:autoSpaceDE/>
              <w:autoSpaceDN/>
              <w:adjustRightInd/>
              <w:spacing w:after="0"/>
              <w:textAlignment w:val="auto"/>
              <w:rPr>
                <w:rFonts w:ascii="Calibri" w:hAnsi="Calibri" w:cs="Calibri"/>
                <w:color w:val="000000"/>
                <w:sz w:val="18"/>
                <w:szCs w:val="18"/>
              </w:rPr>
            </w:pPr>
          </w:p>
        </w:tc>
        <w:tc>
          <w:tcPr>
            <w:tcW w:w="1313" w:type="dxa"/>
            <w:vMerge/>
            <w:tcBorders>
              <w:top w:val="nil"/>
              <w:left w:val="single" w:sz="4" w:space="0" w:color="auto"/>
              <w:bottom w:val="single" w:sz="4" w:space="0" w:color="auto"/>
              <w:right w:val="single" w:sz="4" w:space="0" w:color="auto"/>
            </w:tcBorders>
            <w:vAlign w:val="center"/>
            <w:hideMark/>
          </w:tcPr>
          <w:p w14:paraId="70741444" w14:textId="77777777" w:rsidR="009C28E2" w:rsidRPr="009C28E2" w:rsidRDefault="009C28E2" w:rsidP="009C28E2">
            <w:pPr>
              <w:overflowPunct/>
              <w:autoSpaceDE/>
              <w:autoSpaceDN/>
              <w:adjustRightInd/>
              <w:spacing w:after="0"/>
              <w:textAlignment w:val="auto"/>
              <w:rPr>
                <w:rFonts w:ascii="Calibri" w:hAnsi="Calibri" w:cs="Calibri"/>
                <w:color w:val="000000"/>
                <w:sz w:val="18"/>
                <w:szCs w:val="18"/>
              </w:rPr>
            </w:pPr>
          </w:p>
        </w:tc>
        <w:tc>
          <w:tcPr>
            <w:tcW w:w="1411" w:type="dxa"/>
            <w:tcBorders>
              <w:top w:val="nil"/>
              <w:left w:val="nil"/>
              <w:bottom w:val="single" w:sz="4" w:space="0" w:color="auto"/>
              <w:right w:val="single" w:sz="4" w:space="0" w:color="auto"/>
            </w:tcBorders>
            <w:shd w:val="clear" w:color="auto" w:fill="auto"/>
            <w:vAlign w:val="center"/>
            <w:hideMark/>
          </w:tcPr>
          <w:p w14:paraId="303A6519"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Scaled</w:t>
            </w:r>
          </w:p>
        </w:tc>
        <w:tc>
          <w:tcPr>
            <w:tcW w:w="680" w:type="dxa"/>
            <w:tcBorders>
              <w:top w:val="nil"/>
              <w:left w:val="nil"/>
              <w:bottom w:val="single" w:sz="4" w:space="0" w:color="auto"/>
              <w:right w:val="single" w:sz="4" w:space="0" w:color="auto"/>
            </w:tcBorders>
            <w:shd w:val="clear" w:color="auto" w:fill="auto"/>
            <w:vAlign w:val="center"/>
            <w:hideMark/>
          </w:tcPr>
          <w:p w14:paraId="4B45353E"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-98</w:t>
            </w:r>
          </w:p>
        </w:tc>
        <w:tc>
          <w:tcPr>
            <w:tcW w:w="640" w:type="dxa"/>
            <w:tcBorders>
              <w:top w:val="nil"/>
              <w:left w:val="nil"/>
              <w:bottom w:val="single" w:sz="4" w:space="0" w:color="auto"/>
              <w:right w:val="single" w:sz="4" w:space="0" w:color="auto"/>
            </w:tcBorders>
            <w:shd w:val="clear" w:color="auto" w:fill="auto"/>
            <w:vAlign w:val="center"/>
            <w:hideMark/>
          </w:tcPr>
          <w:p w14:paraId="3918581A"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-94.8</w:t>
            </w:r>
          </w:p>
        </w:tc>
        <w:tc>
          <w:tcPr>
            <w:tcW w:w="680" w:type="dxa"/>
            <w:tcBorders>
              <w:top w:val="nil"/>
              <w:left w:val="nil"/>
              <w:bottom w:val="single" w:sz="4" w:space="0" w:color="auto"/>
              <w:right w:val="single" w:sz="4" w:space="0" w:color="auto"/>
            </w:tcBorders>
            <w:shd w:val="clear" w:color="auto" w:fill="auto"/>
            <w:vAlign w:val="center"/>
            <w:hideMark/>
          </w:tcPr>
          <w:p w14:paraId="75F8A958"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-93.0</w:t>
            </w:r>
          </w:p>
        </w:tc>
        <w:tc>
          <w:tcPr>
            <w:tcW w:w="680" w:type="dxa"/>
            <w:tcBorders>
              <w:top w:val="nil"/>
              <w:left w:val="nil"/>
              <w:bottom w:val="single" w:sz="4" w:space="0" w:color="auto"/>
              <w:right w:val="single" w:sz="4" w:space="0" w:color="auto"/>
            </w:tcBorders>
            <w:shd w:val="clear" w:color="auto" w:fill="auto"/>
            <w:vAlign w:val="center"/>
            <w:hideMark/>
          </w:tcPr>
          <w:p w14:paraId="5F85953F"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-91.7</w:t>
            </w:r>
          </w:p>
        </w:tc>
        <w:tc>
          <w:tcPr>
            <w:tcW w:w="680" w:type="dxa"/>
            <w:tcBorders>
              <w:top w:val="nil"/>
              <w:left w:val="nil"/>
              <w:bottom w:val="single" w:sz="4" w:space="0" w:color="auto"/>
              <w:right w:val="single" w:sz="4" w:space="0" w:color="auto"/>
            </w:tcBorders>
            <w:shd w:val="clear" w:color="auto" w:fill="auto"/>
            <w:vAlign w:val="center"/>
            <w:hideMark/>
          </w:tcPr>
          <w:p w14:paraId="22BB6A87"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-90.7</w:t>
            </w:r>
          </w:p>
        </w:tc>
        <w:tc>
          <w:tcPr>
            <w:tcW w:w="680" w:type="dxa"/>
            <w:tcBorders>
              <w:top w:val="nil"/>
              <w:left w:val="nil"/>
              <w:bottom w:val="single" w:sz="4" w:space="0" w:color="auto"/>
              <w:right w:val="single" w:sz="4" w:space="0" w:color="auto"/>
            </w:tcBorders>
            <w:shd w:val="clear" w:color="auto" w:fill="auto"/>
            <w:vAlign w:val="center"/>
            <w:hideMark/>
          </w:tcPr>
          <w:p w14:paraId="0AF29251"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-89.9</w:t>
            </w:r>
          </w:p>
        </w:tc>
        <w:tc>
          <w:tcPr>
            <w:tcW w:w="680" w:type="dxa"/>
            <w:tcBorders>
              <w:top w:val="nil"/>
              <w:left w:val="nil"/>
              <w:bottom w:val="single" w:sz="4" w:space="0" w:color="auto"/>
              <w:right w:val="single" w:sz="4" w:space="0" w:color="auto"/>
            </w:tcBorders>
            <w:shd w:val="clear" w:color="auto" w:fill="auto"/>
            <w:vAlign w:val="center"/>
            <w:hideMark/>
          </w:tcPr>
          <w:p w14:paraId="16E3D5AA"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-89.2</w:t>
            </w:r>
          </w:p>
        </w:tc>
        <w:tc>
          <w:tcPr>
            <w:tcW w:w="680" w:type="dxa"/>
            <w:tcBorders>
              <w:top w:val="nil"/>
              <w:left w:val="nil"/>
              <w:bottom w:val="single" w:sz="4" w:space="0" w:color="auto"/>
              <w:right w:val="single" w:sz="4" w:space="0" w:color="auto"/>
            </w:tcBorders>
            <w:shd w:val="clear" w:color="auto" w:fill="auto"/>
            <w:vAlign w:val="center"/>
            <w:hideMark/>
          </w:tcPr>
          <w:p w14:paraId="3D88A2FD"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-88.6</w:t>
            </w:r>
          </w:p>
        </w:tc>
        <w:tc>
          <w:tcPr>
            <w:tcW w:w="680" w:type="dxa"/>
            <w:tcBorders>
              <w:top w:val="nil"/>
              <w:left w:val="nil"/>
              <w:bottom w:val="single" w:sz="4" w:space="0" w:color="auto"/>
              <w:right w:val="single" w:sz="4" w:space="0" w:color="auto"/>
            </w:tcBorders>
            <w:shd w:val="clear" w:color="auto" w:fill="auto"/>
            <w:vAlign w:val="center"/>
            <w:hideMark/>
          </w:tcPr>
          <w:p w14:paraId="3DE1A1A5"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 </w:t>
            </w:r>
          </w:p>
        </w:tc>
      </w:tr>
      <w:tr w:rsidR="009C28E2" w:rsidRPr="009C28E2" w14:paraId="3B930278" w14:textId="77777777" w:rsidTr="009C28E2">
        <w:trPr>
          <w:trHeight w:val="70"/>
          <w:jc w:val="center"/>
        </w:trPr>
        <w:tc>
          <w:tcPr>
            <w:tcW w:w="689" w:type="dxa"/>
            <w:vMerge/>
            <w:tcBorders>
              <w:top w:val="nil"/>
              <w:left w:val="single" w:sz="4" w:space="0" w:color="auto"/>
              <w:bottom w:val="single" w:sz="4" w:space="0" w:color="auto"/>
              <w:right w:val="single" w:sz="4" w:space="0" w:color="auto"/>
            </w:tcBorders>
            <w:vAlign w:val="center"/>
            <w:hideMark/>
          </w:tcPr>
          <w:p w14:paraId="55FDAAF0" w14:textId="77777777" w:rsidR="009C28E2" w:rsidRPr="009C28E2" w:rsidRDefault="009C28E2" w:rsidP="009C28E2">
            <w:pPr>
              <w:overflowPunct/>
              <w:autoSpaceDE/>
              <w:autoSpaceDN/>
              <w:adjustRightInd/>
              <w:spacing w:after="0"/>
              <w:textAlignment w:val="auto"/>
              <w:rPr>
                <w:rFonts w:ascii="Calibri" w:hAnsi="Calibri" w:cs="Calibri"/>
                <w:color w:val="000000"/>
                <w:sz w:val="18"/>
                <w:szCs w:val="18"/>
              </w:rPr>
            </w:pPr>
          </w:p>
        </w:tc>
        <w:tc>
          <w:tcPr>
            <w:tcW w:w="1313" w:type="dxa"/>
            <w:vMerge/>
            <w:tcBorders>
              <w:top w:val="nil"/>
              <w:left w:val="single" w:sz="4" w:space="0" w:color="auto"/>
              <w:bottom w:val="single" w:sz="4" w:space="0" w:color="auto"/>
              <w:right w:val="single" w:sz="4" w:space="0" w:color="auto"/>
            </w:tcBorders>
            <w:vAlign w:val="center"/>
            <w:hideMark/>
          </w:tcPr>
          <w:p w14:paraId="7F939AE4" w14:textId="77777777" w:rsidR="009C28E2" w:rsidRPr="009C28E2" w:rsidRDefault="009C28E2" w:rsidP="009C28E2">
            <w:pPr>
              <w:overflowPunct/>
              <w:autoSpaceDE/>
              <w:autoSpaceDN/>
              <w:adjustRightInd/>
              <w:spacing w:after="0"/>
              <w:textAlignment w:val="auto"/>
              <w:rPr>
                <w:rFonts w:ascii="Calibri" w:hAnsi="Calibri" w:cs="Calibri"/>
                <w:color w:val="000000"/>
                <w:sz w:val="18"/>
                <w:szCs w:val="18"/>
              </w:rPr>
            </w:pPr>
          </w:p>
        </w:tc>
        <w:tc>
          <w:tcPr>
            <w:tcW w:w="1411" w:type="dxa"/>
            <w:tcBorders>
              <w:top w:val="nil"/>
              <w:left w:val="nil"/>
              <w:bottom w:val="single" w:sz="4" w:space="0" w:color="auto"/>
              <w:right w:val="single" w:sz="4" w:space="0" w:color="auto"/>
            </w:tcBorders>
            <w:shd w:val="clear" w:color="auto" w:fill="auto"/>
            <w:vAlign w:val="center"/>
            <w:hideMark/>
          </w:tcPr>
          <w:p w14:paraId="5CAA17A2" w14:textId="71B0C5C5"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delta vs scaled</w:t>
            </w:r>
          </w:p>
        </w:tc>
        <w:tc>
          <w:tcPr>
            <w:tcW w:w="680" w:type="dxa"/>
            <w:tcBorders>
              <w:top w:val="nil"/>
              <w:left w:val="nil"/>
              <w:bottom w:val="single" w:sz="4" w:space="0" w:color="auto"/>
              <w:right w:val="single" w:sz="4" w:space="0" w:color="auto"/>
            </w:tcBorders>
            <w:shd w:val="clear" w:color="000000" w:fill="92D050"/>
            <w:vAlign w:val="center"/>
            <w:hideMark/>
          </w:tcPr>
          <w:p w14:paraId="045996F8"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0.0</w:t>
            </w:r>
          </w:p>
        </w:tc>
        <w:tc>
          <w:tcPr>
            <w:tcW w:w="640" w:type="dxa"/>
            <w:tcBorders>
              <w:top w:val="nil"/>
              <w:left w:val="nil"/>
              <w:bottom w:val="single" w:sz="4" w:space="0" w:color="auto"/>
              <w:right w:val="single" w:sz="4" w:space="0" w:color="auto"/>
            </w:tcBorders>
            <w:shd w:val="clear" w:color="000000" w:fill="92D050"/>
            <w:vAlign w:val="center"/>
            <w:hideMark/>
          </w:tcPr>
          <w:p w14:paraId="7C0157E5"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0.0</w:t>
            </w:r>
          </w:p>
        </w:tc>
        <w:tc>
          <w:tcPr>
            <w:tcW w:w="680" w:type="dxa"/>
            <w:tcBorders>
              <w:top w:val="nil"/>
              <w:left w:val="nil"/>
              <w:bottom w:val="single" w:sz="4" w:space="0" w:color="auto"/>
              <w:right w:val="single" w:sz="4" w:space="0" w:color="auto"/>
            </w:tcBorders>
            <w:shd w:val="clear" w:color="000000" w:fill="92D050"/>
            <w:vAlign w:val="center"/>
            <w:hideMark/>
          </w:tcPr>
          <w:p w14:paraId="5A95E80C"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0.0</w:t>
            </w:r>
          </w:p>
        </w:tc>
        <w:tc>
          <w:tcPr>
            <w:tcW w:w="680" w:type="dxa"/>
            <w:tcBorders>
              <w:top w:val="nil"/>
              <w:left w:val="nil"/>
              <w:bottom w:val="single" w:sz="4" w:space="0" w:color="auto"/>
              <w:right w:val="single" w:sz="4" w:space="0" w:color="auto"/>
            </w:tcBorders>
            <w:shd w:val="clear" w:color="000000" w:fill="92D050"/>
            <w:vAlign w:val="center"/>
            <w:hideMark/>
          </w:tcPr>
          <w:p w14:paraId="43F3F7F0"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-0.1</w:t>
            </w:r>
          </w:p>
        </w:tc>
        <w:tc>
          <w:tcPr>
            <w:tcW w:w="680" w:type="dxa"/>
            <w:tcBorders>
              <w:top w:val="nil"/>
              <w:left w:val="nil"/>
              <w:bottom w:val="single" w:sz="4" w:space="0" w:color="auto"/>
              <w:right w:val="single" w:sz="4" w:space="0" w:color="auto"/>
            </w:tcBorders>
            <w:shd w:val="clear" w:color="000000" w:fill="92D050"/>
            <w:vAlign w:val="center"/>
            <w:hideMark/>
          </w:tcPr>
          <w:p w14:paraId="017B9B64"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lang w:val="en-GB"/>
              </w:rPr>
              <w:t>0.0</w:t>
            </w:r>
          </w:p>
        </w:tc>
        <w:tc>
          <w:tcPr>
            <w:tcW w:w="680" w:type="dxa"/>
            <w:tcBorders>
              <w:top w:val="nil"/>
              <w:left w:val="nil"/>
              <w:bottom w:val="single" w:sz="4" w:space="0" w:color="auto"/>
              <w:right w:val="single" w:sz="4" w:space="0" w:color="auto"/>
            </w:tcBorders>
            <w:shd w:val="clear" w:color="000000" w:fill="FF0000"/>
            <w:vAlign w:val="center"/>
            <w:hideMark/>
          </w:tcPr>
          <w:p w14:paraId="7E04FFB3"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lang w:val="en-GB"/>
              </w:rPr>
              <w:t>5.8</w:t>
            </w:r>
          </w:p>
        </w:tc>
        <w:tc>
          <w:tcPr>
            <w:tcW w:w="680" w:type="dxa"/>
            <w:tcBorders>
              <w:top w:val="nil"/>
              <w:left w:val="nil"/>
              <w:bottom w:val="single" w:sz="4" w:space="0" w:color="auto"/>
              <w:right w:val="single" w:sz="4" w:space="0" w:color="auto"/>
            </w:tcBorders>
            <w:shd w:val="clear" w:color="000000" w:fill="FF0000"/>
            <w:vAlign w:val="center"/>
            <w:hideMark/>
          </w:tcPr>
          <w:p w14:paraId="20D274F6"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5.6</w:t>
            </w:r>
          </w:p>
        </w:tc>
        <w:tc>
          <w:tcPr>
            <w:tcW w:w="680" w:type="dxa"/>
            <w:tcBorders>
              <w:top w:val="nil"/>
              <w:left w:val="nil"/>
              <w:bottom w:val="single" w:sz="4" w:space="0" w:color="auto"/>
              <w:right w:val="single" w:sz="4" w:space="0" w:color="auto"/>
            </w:tcBorders>
            <w:shd w:val="clear" w:color="000000" w:fill="FF0000"/>
            <w:vAlign w:val="center"/>
            <w:hideMark/>
          </w:tcPr>
          <w:p w14:paraId="44DDB4D8"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lang w:val="en-GB"/>
              </w:rPr>
              <w:t>7.1</w:t>
            </w:r>
          </w:p>
        </w:tc>
        <w:tc>
          <w:tcPr>
            <w:tcW w:w="680" w:type="dxa"/>
            <w:tcBorders>
              <w:top w:val="nil"/>
              <w:left w:val="nil"/>
              <w:bottom w:val="single" w:sz="4" w:space="0" w:color="auto"/>
              <w:right w:val="single" w:sz="4" w:space="0" w:color="auto"/>
            </w:tcBorders>
            <w:shd w:val="clear" w:color="auto" w:fill="auto"/>
            <w:vAlign w:val="center"/>
            <w:hideMark/>
          </w:tcPr>
          <w:p w14:paraId="086F9425"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0.0</w:t>
            </w:r>
          </w:p>
        </w:tc>
      </w:tr>
      <w:tr w:rsidR="009C28E2" w:rsidRPr="009C28E2" w14:paraId="033C9F5F" w14:textId="77777777" w:rsidTr="009C28E2">
        <w:trPr>
          <w:trHeight w:val="70"/>
          <w:jc w:val="center"/>
        </w:trPr>
        <w:tc>
          <w:tcPr>
            <w:tcW w:w="689" w:type="dxa"/>
            <w:vMerge w:val="restart"/>
            <w:tcBorders>
              <w:top w:val="nil"/>
              <w:left w:val="single" w:sz="4" w:space="0" w:color="auto"/>
              <w:bottom w:val="single" w:sz="4" w:space="0" w:color="auto"/>
              <w:right w:val="single" w:sz="4" w:space="0" w:color="auto"/>
            </w:tcBorders>
            <w:shd w:val="clear" w:color="auto" w:fill="auto"/>
            <w:vAlign w:val="center"/>
            <w:hideMark/>
          </w:tcPr>
          <w:p w14:paraId="11D283D2"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n25</w:t>
            </w:r>
          </w:p>
        </w:tc>
        <w:tc>
          <w:tcPr>
            <w:tcW w:w="1313" w:type="dxa"/>
            <w:vMerge w:val="restart"/>
            <w:tcBorders>
              <w:top w:val="nil"/>
              <w:left w:val="single" w:sz="4" w:space="0" w:color="auto"/>
              <w:bottom w:val="single" w:sz="4" w:space="0" w:color="auto"/>
              <w:right w:val="single" w:sz="4" w:space="0" w:color="auto"/>
            </w:tcBorders>
            <w:shd w:val="clear" w:color="000000" w:fill="FFC000"/>
            <w:vAlign w:val="center"/>
            <w:hideMark/>
          </w:tcPr>
          <w:p w14:paraId="5417DB0A"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80</w:t>
            </w:r>
          </w:p>
        </w:tc>
        <w:tc>
          <w:tcPr>
            <w:tcW w:w="1411" w:type="dxa"/>
            <w:tcBorders>
              <w:top w:val="nil"/>
              <w:left w:val="nil"/>
              <w:bottom w:val="single" w:sz="4" w:space="0" w:color="auto"/>
              <w:right w:val="single" w:sz="4" w:space="0" w:color="auto"/>
            </w:tcBorders>
            <w:shd w:val="clear" w:color="auto" w:fill="auto"/>
            <w:vAlign w:val="center"/>
            <w:hideMark/>
          </w:tcPr>
          <w:p w14:paraId="323B00F9"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15</w:t>
            </w:r>
          </w:p>
        </w:tc>
        <w:tc>
          <w:tcPr>
            <w:tcW w:w="680" w:type="dxa"/>
            <w:tcBorders>
              <w:top w:val="nil"/>
              <w:left w:val="nil"/>
              <w:bottom w:val="single" w:sz="4" w:space="0" w:color="auto"/>
              <w:right w:val="single" w:sz="4" w:space="0" w:color="auto"/>
            </w:tcBorders>
            <w:shd w:val="clear" w:color="auto" w:fill="auto"/>
            <w:vAlign w:val="center"/>
            <w:hideMark/>
          </w:tcPr>
          <w:p w14:paraId="1CA13157"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-96.5</w:t>
            </w:r>
          </w:p>
        </w:tc>
        <w:tc>
          <w:tcPr>
            <w:tcW w:w="640" w:type="dxa"/>
            <w:tcBorders>
              <w:top w:val="nil"/>
              <w:left w:val="nil"/>
              <w:bottom w:val="single" w:sz="4" w:space="0" w:color="auto"/>
              <w:right w:val="single" w:sz="4" w:space="0" w:color="auto"/>
            </w:tcBorders>
            <w:shd w:val="clear" w:color="auto" w:fill="auto"/>
            <w:vAlign w:val="center"/>
            <w:hideMark/>
          </w:tcPr>
          <w:p w14:paraId="6EEEAB1F"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-93.3</w:t>
            </w:r>
          </w:p>
        </w:tc>
        <w:tc>
          <w:tcPr>
            <w:tcW w:w="680" w:type="dxa"/>
            <w:tcBorders>
              <w:top w:val="nil"/>
              <w:left w:val="nil"/>
              <w:bottom w:val="single" w:sz="4" w:space="0" w:color="auto"/>
              <w:right w:val="single" w:sz="4" w:space="0" w:color="auto"/>
            </w:tcBorders>
            <w:shd w:val="clear" w:color="auto" w:fill="auto"/>
            <w:vAlign w:val="center"/>
            <w:hideMark/>
          </w:tcPr>
          <w:p w14:paraId="5527C044"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-91.5</w:t>
            </w:r>
          </w:p>
        </w:tc>
        <w:tc>
          <w:tcPr>
            <w:tcW w:w="680" w:type="dxa"/>
            <w:tcBorders>
              <w:top w:val="nil"/>
              <w:left w:val="nil"/>
              <w:bottom w:val="single" w:sz="4" w:space="0" w:color="auto"/>
              <w:right w:val="single" w:sz="4" w:space="0" w:color="auto"/>
            </w:tcBorders>
            <w:shd w:val="clear" w:color="auto" w:fill="auto"/>
            <w:vAlign w:val="center"/>
            <w:hideMark/>
          </w:tcPr>
          <w:p w14:paraId="7107E238"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-90.3</w:t>
            </w:r>
          </w:p>
        </w:tc>
        <w:tc>
          <w:tcPr>
            <w:tcW w:w="680" w:type="dxa"/>
            <w:tcBorders>
              <w:top w:val="nil"/>
              <w:left w:val="nil"/>
              <w:bottom w:val="single" w:sz="4" w:space="0" w:color="auto"/>
              <w:right w:val="single" w:sz="4" w:space="0" w:color="auto"/>
            </w:tcBorders>
            <w:shd w:val="clear" w:color="auto" w:fill="auto"/>
            <w:vAlign w:val="center"/>
            <w:hideMark/>
          </w:tcPr>
          <w:p w14:paraId="567E5F4D"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-89.3</w:t>
            </w:r>
          </w:p>
        </w:tc>
        <w:tc>
          <w:tcPr>
            <w:tcW w:w="680" w:type="dxa"/>
            <w:tcBorders>
              <w:top w:val="nil"/>
              <w:left w:val="nil"/>
              <w:bottom w:val="single" w:sz="4" w:space="0" w:color="auto"/>
              <w:right w:val="single" w:sz="4" w:space="0" w:color="auto"/>
            </w:tcBorders>
            <w:shd w:val="clear" w:color="auto" w:fill="auto"/>
            <w:vAlign w:val="center"/>
            <w:hideMark/>
          </w:tcPr>
          <w:p w14:paraId="491AE89C"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-82.2</w:t>
            </w:r>
          </w:p>
        </w:tc>
        <w:tc>
          <w:tcPr>
            <w:tcW w:w="680" w:type="dxa"/>
            <w:tcBorders>
              <w:top w:val="nil"/>
              <w:left w:val="nil"/>
              <w:bottom w:val="single" w:sz="4" w:space="0" w:color="auto"/>
              <w:right w:val="single" w:sz="4" w:space="0" w:color="auto"/>
            </w:tcBorders>
            <w:shd w:val="clear" w:color="auto" w:fill="auto"/>
            <w:vAlign w:val="center"/>
            <w:hideMark/>
          </w:tcPr>
          <w:p w14:paraId="285A8822"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-81.7</w:t>
            </w:r>
          </w:p>
        </w:tc>
        <w:tc>
          <w:tcPr>
            <w:tcW w:w="680" w:type="dxa"/>
            <w:tcBorders>
              <w:top w:val="nil"/>
              <w:left w:val="nil"/>
              <w:bottom w:val="single" w:sz="4" w:space="0" w:color="auto"/>
              <w:right w:val="single" w:sz="4" w:space="0" w:color="auto"/>
            </w:tcBorders>
            <w:shd w:val="clear" w:color="auto" w:fill="auto"/>
            <w:vAlign w:val="center"/>
            <w:hideMark/>
          </w:tcPr>
          <w:p w14:paraId="34254390"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-79.5</w:t>
            </w:r>
          </w:p>
        </w:tc>
        <w:tc>
          <w:tcPr>
            <w:tcW w:w="680" w:type="dxa"/>
            <w:tcBorders>
              <w:top w:val="nil"/>
              <w:left w:val="nil"/>
              <w:bottom w:val="single" w:sz="4" w:space="0" w:color="auto"/>
              <w:right w:val="single" w:sz="4" w:space="0" w:color="auto"/>
            </w:tcBorders>
            <w:shd w:val="clear" w:color="auto" w:fill="auto"/>
            <w:vAlign w:val="center"/>
            <w:hideMark/>
          </w:tcPr>
          <w:p w14:paraId="149DC288"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-77.6</w:t>
            </w:r>
          </w:p>
        </w:tc>
      </w:tr>
      <w:tr w:rsidR="009C28E2" w:rsidRPr="009C28E2" w14:paraId="63E9823F" w14:textId="77777777" w:rsidTr="009C28E2">
        <w:trPr>
          <w:trHeight w:val="70"/>
          <w:jc w:val="center"/>
        </w:trPr>
        <w:tc>
          <w:tcPr>
            <w:tcW w:w="689" w:type="dxa"/>
            <w:vMerge/>
            <w:tcBorders>
              <w:top w:val="nil"/>
              <w:left w:val="single" w:sz="4" w:space="0" w:color="auto"/>
              <w:bottom w:val="single" w:sz="4" w:space="0" w:color="auto"/>
              <w:right w:val="single" w:sz="4" w:space="0" w:color="auto"/>
            </w:tcBorders>
            <w:vAlign w:val="center"/>
            <w:hideMark/>
          </w:tcPr>
          <w:p w14:paraId="47BAA952" w14:textId="77777777" w:rsidR="009C28E2" w:rsidRPr="009C28E2" w:rsidRDefault="009C28E2" w:rsidP="009C28E2">
            <w:pPr>
              <w:overflowPunct/>
              <w:autoSpaceDE/>
              <w:autoSpaceDN/>
              <w:adjustRightInd/>
              <w:spacing w:after="0"/>
              <w:textAlignment w:val="auto"/>
              <w:rPr>
                <w:rFonts w:ascii="Calibri" w:hAnsi="Calibri" w:cs="Calibri"/>
                <w:color w:val="000000"/>
                <w:sz w:val="18"/>
                <w:szCs w:val="18"/>
              </w:rPr>
            </w:pPr>
          </w:p>
        </w:tc>
        <w:tc>
          <w:tcPr>
            <w:tcW w:w="1313" w:type="dxa"/>
            <w:vMerge/>
            <w:tcBorders>
              <w:top w:val="nil"/>
              <w:left w:val="single" w:sz="4" w:space="0" w:color="auto"/>
              <w:bottom w:val="single" w:sz="4" w:space="0" w:color="auto"/>
              <w:right w:val="single" w:sz="4" w:space="0" w:color="auto"/>
            </w:tcBorders>
            <w:vAlign w:val="center"/>
            <w:hideMark/>
          </w:tcPr>
          <w:p w14:paraId="5EFE9644" w14:textId="77777777" w:rsidR="009C28E2" w:rsidRPr="009C28E2" w:rsidRDefault="009C28E2" w:rsidP="009C28E2">
            <w:pPr>
              <w:overflowPunct/>
              <w:autoSpaceDE/>
              <w:autoSpaceDN/>
              <w:adjustRightInd/>
              <w:spacing w:after="0"/>
              <w:textAlignment w:val="auto"/>
              <w:rPr>
                <w:rFonts w:ascii="Calibri" w:hAnsi="Calibri" w:cs="Calibri"/>
                <w:color w:val="000000"/>
                <w:sz w:val="18"/>
                <w:szCs w:val="18"/>
              </w:rPr>
            </w:pPr>
          </w:p>
        </w:tc>
        <w:tc>
          <w:tcPr>
            <w:tcW w:w="1411" w:type="dxa"/>
            <w:tcBorders>
              <w:top w:val="nil"/>
              <w:left w:val="nil"/>
              <w:bottom w:val="single" w:sz="4" w:space="0" w:color="auto"/>
              <w:right w:val="single" w:sz="4" w:space="0" w:color="auto"/>
            </w:tcBorders>
            <w:shd w:val="clear" w:color="auto" w:fill="auto"/>
            <w:vAlign w:val="center"/>
            <w:hideMark/>
          </w:tcPr>
          <w:p w14:paraId="67D799A0"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Scaled</w:t>
            </w:r>
          </w:p>
        </w:tc>
        <w:tc>
          <w:tcPr>
            <w:tcW w:w="680" w:type="dxa"/>
            <w:tcBorders>
              <w:top w:val="nil"/>
              <w:left w:val="nil"/>
              <w:bottom w:val="single" w:sz="4" w:space="0" w:color="auto"/>
              <w:right w:val="single" w:sz="4" w:space="0" w:color="auto"/>
            </w:tcBorders>
            <w:shd w:val="clear" w:color="auto" w:fill="auto"/>
            <w:vAlign w:val="center"/>
            <w:hideMark/>
          </w:tcPr>
          <w:p w14:paraId="552D70AE"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-96.5</w:t>
            </w:r>
          </w:p>
        </w:tc>
        <w:tc>
          <w:tcPr>
            <w:tcW w:w="640" w:type="dxa"/>
            <w:tcBorders>
              <w:top w:val="nil"/>
              <w:left w:val="nil"/>
              <w:bottom w:val="single" w:sz="4" w:space="0" w:color="auto"/>
              <w:right w:val="single" w:sz="4" w:space="0" w:color="auto"/>
            </w:tcBorders>
            <w:shd w:val="clear" w:color="auto" w:fill="auto"/>
            <w:vAlign w:val="center"/>
            <w:hideMark/>
          </w:tcPr>
          <w:p w14:paraId="4B48B015"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-93.3</w:t>
            </w:r>
          </w:p>
        </w:tc>
        <w:tc>
          <w:tcPr>
            <w:tcW w:w="680" w:type="dxa"/>
            <w:tcBorders>
              <w:top w:val="nil"/>
              <w:left w:val="nil"/>
              <w:bottom w:val="single" w:sz="4" w:space="0" w:color="auto"/>
              <w:right w:val="single" w:sz="4" w:space="0" w:color="auto"/>
            </w:tcBorders>
            <w:shd w:val="clear" w:color="auto" w:fill="auto"/>
            <w:vAlign w:val="center"/>
            <w:hideMark/>
          </w:tcPr>
          <w:p w14:paraId="3E97EC8C"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-91.5</w:t>
            </w:r>
          </w:p>
        </w:tc>
        <w:tc>
          <w:tcPr>
            <w:tcW w:w="680" w:type="dxa"/>
            <w:tcBorders>
              <w:top w:val="nil"/>
              <w:left w:val="nil"/>
              <w:bottom w:val="single" w:sz="4" w:space="0" w:color="auto"/>
              <w:right w:val="single" w:sz="4" w:space="0" w:color="auto"/>
            </w:tcBorders>
            <w:shd w:val="clear" w:color="auto" w:fill="auto"/>
            <w:vAlign w:val="center"/>
            <w:hideMark/>
          </w:tcPr>
          <w:p w14:paraId="655A854F"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-90.2</w:t>
            </w:r>
          </w:p>
        </w:tc>
        <w:tc>
          <w:tcPr>
            <w:tcW w:w="680" w:type="dxa"/>
            <w:tcBorders>
              <w:top w:val="nil"/>
              <w:left w:val="nil"/>
              <w:bottom w:val="single" w:sz="4" w:space="0" w:color="auto"/>
              <w:right w:val="single" w:sz="4" w:space="0" w:color="auto"/>
            </w:tcBorders>
            <w:shd w:val="clear" w:color="auto" w:fill="auto"/>
            <w:vAlign w:val="center"/>
            <w:hideMark/>
          </w:tcPr>
          <w:p w14:paraId="5CB9085B"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-89.2</w:t>
            </w:r>
          </w:p>
        </w:tc>
        <w:tc>
          <w:tcPr>
            <w:tcW w:w="680" w:type="dxa"/>
            <w:tcBorders>
              <w:top w:val="nil"/>
              <w:left w:val="nil"/>
              <w:bottom w:val="single" w:sz="4" w:space="0" w:color="auto"/>
              <w:right w:val="single" w:sz="4" w:space="0" w:color="auto"/>
            </w:tcBorders>
            <w:shd w:val="clear" w:color="auto" w:fill="auto"/>
            <w:vAlign w:val="center"/>
            <w:hideMark/>
          </w:tcPr>
          <w:p w14:paraId="41827109"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-88.4</w:t>
            </w:r>
          </w:p>
        </w:tc>
        <w:tc>
          <w:tcPr>
            <w:tcW w:w="680" w:type="dxa"/>
            <w:tcBorders>
              <w:top w:val="nil"/>
              <w:left w:val="nil"/>
              <w:bottom w:val="single" w:sz="4" w:space="0" w:color="auto"/>
              <w:right w:val="single" w:sz="4" w:space="0" w:color="auto"/>
            </w:tcBorders>
            <w:shd w:val="clear" w:color="auto" w:fill="auto"/>
            <w:vAlign w:val="center"/>
            <w:hideMark/>
          </w:tcPr>
          <w:p w14:paraId="44374847"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-87.7</w:t>
            </w:r>
          </w:p>
        </w:tc>
        <w:tc>
          <w:tcPr>
            <w:tcW w:w="680" w:type="dxa"/>
            <w:tcBorders>
              <w:top w:val="nil"/>
              <w:left w:val="nil"/>
              <w:bottom w:val="single" w:sz="4" w:space="0" w:color="auto"/>
              <w:right w:val="single" w:sz="4" w:space="0" w:color="auto"/>
            </w:tcBorders>
            <w:shd w:val="clear" w:color="auto" w:fill="auto"/>
            <w:vAlign w:val="center"/>
            <w:hideMark/>
          </w:tcPr>
          <w:p w14:paraId="17DC95C0"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-87.1</w:t>
            </w:r>
          </w:p>
        </w:tc>
        <w:tc>
          <w:tcPr>
            <w:tcW w:w="680" w:type="dxa"/>
            <w:tcBorders>
              <w:top w:val="nil"/>
              <w:left w:val="nil"/>
              <w:bottom w:val="single" w:sz="4" w:space="0" w:color="auto"/>
              <w:right w:val="single" w:sz="4" w:space="0" w:color="auto"/>
            </w:tcBorders>
            <w:shd w:val="clear" w:color="auto" w:fill="auto"/>
            <w:vAlign w:val="center"/>
            <w:hideMark/>
          </w:tcPr>
          <w:p w14:paraId="0469A4F2"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-86.6</w:t>
            </w:r>
          </w:p>
        </w:tc>
      </w:tr>
      <w:tr w:rsidR="009C28E2" w:rsidRPr="009C28E2" w14:paraId="4D5E6388" w14:textId="77777777" w:rsidTr="009C28E2">
        <w:trPr>
          <w:trHeight w:val="70"/>
          <w:jc w:val="center"/>
        </w:trPr>
        <w:tc>
          <w:tcPr>
            <w:tcW w:w="689" w:type="dxa"/>
            <w:vMerge/>
            <w:tcBorders>
              <w:top w:val="nil"/>
              <w:left w:val="single" w:sz="4" w:space="0" w:color="auto"/>
              <w:bottom w:val="single" w:sz="4" w:space="0" w:color="auto"/>
              <w:right w:val="single" w:sz="4" w:space="0" w:color="auto"/>
            </w:tcBorders>
            <w:vAlign w:val="center"/>
            <w:hideMark/>
          </w:tcPr>
          <w:p w14:paraId="10369CC8" w14:textId="77777777" w:rsidR="009C28E2" w:rsidRPr="009C28E2" w:rsidRDefault="009C28E2" w:rsidP="009C28E2">
            <w:pPr>
              <w:overflowPunct/>
              <w:autoSpaceDE/>
              <w:autoSpaceDN/>
              <w:adjustRightInd/>
              <w:spacing w:after="0"/>
              <w:textAlignment w:val="auto"/>
              <w:rPr>
                <w:rFonts w:ascii="Calibri" w:hAnsi="Calibri" w:cs="Calibri"/>
                <w:color w:val="000000"/>
                <w:sz w:val="18"/>
                <w:szCs w:val="18"/>
              </w:rPr>
            </w:pPr>
          </w:p>
        </w:tc>
        <w:tc>
          <w:tcPr>
            <w:tcW w:w="1313" w:type="dxa"/>
            <w:vMerge/>
            <w:tcBorders>
              <w:top w:val="nil"/>
              <w:left w:val="single" w:sz="4" w:space="0" w:color="auto"/>
              <w:bottom w:val="single" w:sz="4" w:space="0" w:color="auto"/>
              <w:right w:val="single" w:sz="4" w:space="0" w:color="auto"/>
            </w:tcBorders>
            <w:vAlign w:val="center"/>
            <w:hideMark/>
          </w:tcPr>
          <w:p w14:paraId="1A295BBB" w14:textId="77777777" w:rsidR="009C28E2" w:rsidRPr="009C28E2" w:rsidRDefault="009C28E2" w:rsidP="009C28E2">
            <w:pPr>
              <w:overflowPunct/>
              <w:autoSpaceDE/>
              <w:autoSpaceDN/>
              <w:adjustRightInd/>
              <w:spacing w:after="0"/>
              <w:textAlignment w:val="auto"/>
              <w:rPr>
                <w:rFonts w:ascii="Calibri" w:hAnsi="Calibri" w:cs="Calibri"/>
                <w:color w:val="000000"/>
                <w:sz w:val="18"/>
                <w:szCs w:val="18"/>
              </w:rPr>
            </w:pPr>
          </w:p>
        </w:tc>
        <w:tc>
          <w:tcPr>
            <w:tcW w:w="1411" w:type="dxa"/>
            <w:tcBorders>
              <w:top w:val="nil"/>
              <w:left w:val="nil"/>
              <w:bottom w:val="single" w:sz="4" w:space="0" w:color="auto"/>
              <w:right w:val="single" w:sz="4" w:space="0" w:color="auto"/>
            </w:tcBorders>
            <w:shd w:val="clear" w:color="auto" w:fill="auto"/>
            <w:vAlign w:val="center"/>
            <w:hideMark/>
          </w:tcPr>
          <w:p w14:paraId="3FB0DBD1" w14:textId="259FF8CD"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delta vs scaled</w:t>
            </w:r>
          </w:p>
        </w:tc>
        <w:tc>
          <w:tcPr>
            <w:tcW w:w="680" w:type="dxa"/>
            <w:tcBorders>
              <w:top w:val="nil"/>
              <w:left w:val="nil"/>
              <w:bottom w:val="single" w:sz="4" w:space="0" w:color="auto"/>
              <w:right w:val="single" w:sz="4" w:space="0" w:color="auto"/>
            </w:tcBorders>
            <w:shd w:val="clear" w:color="000000" w:fill="92D050"/>
            <w:vAlign w:val="center"/>
            <w:hideMark/>
          </w:tcPr>
          <w:p w14:paraId="7EEDB451"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0.0</w:t>
            </w:r>
          </w:p>
        </w:tc>
        <w:tc>
          <w:tcPr>
            <w:tcW w:w="640" w:type="dxa"/>
            <w:tcBorders>
              <w:top w:val="nil"/>
              <w:left w:val="nil"/>
              <w:bottom w:val="single" w:sz="4" w:space="0" w:color="auto"/>
              <w:right w:val="single" w:sz="4" w:space="0" w:color="auto"/>
            </w:tcBorders>
            <w:shd w:val="clear" w:color="000000" w:fill="92D050"/>
            <w:vAlign w:val="center"/>
            <w:hideMark/>
          </w:tcPr>
          <w:p w14:paraId="002B8E00"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0.0</w:t>
            </w:r>
          </w:p>
        </w:tc>
        <w:tc>
          <w:tcPr>
            <w:tcW w:w="680" w:type="dxa"/>
            <w:tcBorders>
              <w:top w:val="nil"/>
              <w:left w:val="nil"/>
              <w:bottom w:val="single" w:sz="4" w:space="0" w:color="auto"/>
              <w:right w:val="single" w:sz="4" w:space="0" w:color="auto"/>
            </w:tcBorders>
            <w:shd w:val="clear" w:color="000000" w:fill="92D050"/>
            <w:vAlign w:val="center"/>
            <w:hideMark/>
          </w:tcPr>
          <w:p w14:paraId="21F3522B"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0.0</w:t>
            </w:r>
          </w:p>
        </w:tc>
        <w:tc>
          <w:tcPr>
            <w:tcW w:w="680" w:type="dxa"/>
            <w:tcBorders>
              <w:top w:val="nil"/>
              <w:left w:val="nil"/>
              <w:bottom w:val="single" w:sz="4" w:space="0" w:color="auto"/>
              <w:right w:val="single" w:sz="4" w:space="0" w:color="auto"/>
            </w:tcBorders>
            <w:shd w:val="clear" w:color="000000" w:fill="92D050"/>
            <w:vAlign w:val="center"/>
            <w:hideMark/>
          </w:tcPr>
          <w:p w14:paraId="0EA40FFF"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-0.1</w:t>
            </w:r>
          </w:p>
        </w:tc>
        <w:tc>
          <w:tcPr>
            <w:tcW w:w="680" w:type="dxa"/>
            <w:tcBorders>
              <w:top w:val="nil"/>
              <w:left w:val="nil"/>
              <w:bottom w:val="single" w:sz="4" w:space="0" w:color="auto"/>
              <w:right w:val="single" w:sz="4" w:space="0" w:color="auto"/>
            </w:tcBorders>
            <w:shd w:val="clear" w:color="000000" w:fill="92D050"/>
            <w:vAlign w:val="center"/>
            <w:hideMark/>
          </w:tcPr>
          <w:p w14:paraId="4706595E"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lang w:val="en-GB"/>
              </w:rPr>
              <w:t>-0.1</w:t>
            </w:r>
          </w:p>
        </w:tc>
        <w:tc>
          <w:tcPr>
            <w:tcW w:w="680" w:type="dxa"/>
            <w:tcBorders>
              <w:top w:val="nil"/>
              <w:left w:val="nil"/>
              <w:bottom w:val="single" w:sz="4" w:space="0" w:color="auto"/>
              <w:right w:val="single" w:sz="4" w:space="0" w:color="auto"/>
            </w:tcBorders>
            <w:shd w:val="clear" w:color="000000" w:fill="FF0000"/>
            <w:vAlign w:val="center"/>
            <w:hideMark/>
          </w:tcPr>
          <w:p w14:paraId="599F39AC"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lang w:val="en-GB"/>
              </w:rPr>
              <w:t>6.2</w:t>
            </w:r>
          </w:p>
        </w:tc>
        <w:tc>
          <w:tcPr>
            <w:tcW w:w="680" w:type="dxa"/>
            <w:tcBorders>
              <w:top w:val="nil"/>
              <w:left w:val="nil"/>
              <w:bottom w:val="single" w:sz="4" w:space="0" w:color="auto"/>
              <w:right w:val="single" w:sz="4" w:space="0" w:color="auto"/>
            </w:tcBorders>
            <w:shd w:val="clear" w:color="000000" w:fill="FF0000"/>
            <w:vAlign w:val="center"/>
            <w:hideMark/>
          </w:tcPr>
          <w:p w14:paraId="4C74631C"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6.0</w:t>
            </w:r>
          </w:p>
        </w:tc>
        <w:tc>
          <w:tcPr>
            <w:tcW w:w="680" w:type="dxa"/>
            <w:tcBorders>
              <w:top w:val="nil"/>
              <w:left w:val="nil"/>
              <w:bottom w:val="single" w:sz="4" w:space="0" w:color="auto"/>
              <w:right w:val="single" w:sz="4" w:space="0" w:color="auto"/>
            </w:tcBorders>
            <w:shd w:val="clear" w:color="000000" w:fill="FF0000"/>
            <w:vAlign w:val="center"/>
            <w:hideMark/>
          </w:tcPr>
          <w:p w14:paraId="280B0B08"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lang w:val="en-GB"/>
              </w:rPr>
              <w:t>7.6</w:t>
            </w:r>
          </w:p>
        </w:tc>
        <w:tc>
          <w:tcPr>
            <w:tcW w:w="680" w:type="dxa"/>
            <w:tcBorders>
              <w:top w:val="nil"/>
              <w:left w:val="nil"/>
              <w:bottom w:val="single" w:sz="4" w:space="0" w:color="auto"/>
              <w:right w:val="single" w:sz="4" w:space="0" w:color="auto"/>
            </w:tcBorders>
            <w:shd w:val="clear" w:color="000000" w:fill="FF0000"/>
            <w:vAlign w:val="center"/>
            <w:hideMark/>
          </w:tcPr>
          <w:p w14:paraId="4AB2EDEC"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9.0</w:t>
            </w:r>
          </w:p>
        </w:tc>
      </w:tr>
      <w:tr w:rsidR="009C28E2" w:rsidRPr="009C28E2" w14:paraId="6160FE08" w14:textId="77777777" w:rsidTr="009C28E2">
        <w:trPr>
          <w:trHeight w:val="70"/>
          <w:jc w:val="center"/>
        </w:trPr>
        <w:tc>
          <w:tcPr>
            <w:tcW w:w="689" w:type="dxa"/>
            <w:vMerge w:val="restart"/>
            <w:tcBorders>
              <w:top w:val="nil"/>
              <w:left w:val="single" w:sz="4" w:space="0" w:color="auto"/>
              <w:bottom w:val="single" w:sz="4" w:space="0" w:color="auto"/>
              <w:right w:val="single" w:sz="4" w:space="0" w:color="auto"/>
            </w:tcBorders>
            <w:shd w:val="clear" w:color="auto" w:fill="auto"/>
            <w:vAlign w:val="center"/>
            <w:hideMark/>
          </w:tcPr>
          <w:p w14:paraId="391D285B"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n66</w:t>
            </w:r>
          </w:p>
        </w:tc>
        <w:tc>
          <w:tcPr>
            <w:tcW w:w="1313" w:type="dxa"/>
            <w:vMerge w:val="restart"/>
            <w:tcBorders>
              <w:top w:val="nil"/>
              <w:left w:val="single" w:sz="4" w:space="0" w:color="auto"/>
              <w:bottom w:val="single" w:sz="4" w:space="0" w:color="auto"/>
              <w:right w:val="single" w:sz="4" w:space="0" w:color="auto"/>
            </w:tcBorders>
            <w:shd w:val="clear" w:color="000000" w:fill="92D050"/>
            <w:vAlign w:val="center"/>
            <w:hideMark/>
          </w:tcPr>
          <w:p w14:paraId="2EA1FDA2"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400</w:t>
            </w:r>
          </w:p>
        </w:tc>
        <w:tc>
          <w:tcPr>
            <w:tcW w:w="1411" w:type="dxa"/>
            <w:tcBorders>
              <w:top w:val="nil"/>
              <w:left w:val="nil"/>
              <w:bottom w:val="single" w:sz="4" w:space="0" w:color="auto"/>
              <w:right w:val="single" w:sz="4" w:space="0" w:color="auto"/>
            </w:tcBorders>
            <w:shd w:val="clear" w:color="auto" w:fill="auto"/>
            <w:vAlign w:val="center"/>
            <w:hideMark/>
          </w:tcPr>
          <w:p w14:paraId="178BE9C6"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15</w:t>
            </w:r>
          </w:p>
        </w:tc>
        <w:tc>
          <w:tcPr>
            <w:tcW w:w="680" w:type="dxa"/>
            <w:tcBorders>
              <w:top w:val="nil"/>
              <w:left w:val="nil"/>
              <w:bottom w:val="single" w:sz="4" w:space="0" w:color="auto"/>
              <w:right w:val="single" w:sz="4" w:space="0" w:color="auto"/>
            </w:tcBorders>
            <w:shd w:val="clear" w:color="auto" w:fill="auto"/>
            <w:vAlign w:val="center"/>
            <w:hideMark/>
          </w:tcPr>
          <w:p w14:paraId="6D941410"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-99.5</w:t>
            </w:r>
          </w:p>
        </w:tc>
        <w:tc>
          <w:tcPr>
            <w:tcW w:w="640" w:type="dxa"/>
            <w:tcBorders>
              <w:top w:val="nil"/>
              <w:left w:val="nil"/>
              <w:bottom w:val="single" w:sz="4" w:space="0" w:color="auto"/>
              <w:right w:val="single" w:sz="4" w:space="0" w:color="auto"/>
            </w:tcBorders>
            <w:shd w:val="clear" w:color="auto" w:fill="auto"/>
            <w:vAlign w:val="center"/>
            <w:hideMark/>
          </w:tcPr>
          <w:p w14:paraId="64D2A06C"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-96.3</w:t>
            </w:r>
          </w:p>
        </w:tc>
        <w:tc>
          <w:tcPr>
            <w:tcW w:w="680" w:type="dxa"/>
            <w:tcBorders>
              <w:top w:val="nil"/>
              <w:left w:val="nil"/>
              <w:bottom w:val="single" w:sz="4" w:space="0" w:color="auto"/>
              <w:right w:val="single" w:sz="4" w:space="0" w:color="auto"/>
            </w:tcBorders>
            <w:shd w:val="clear" w:color="auto" w:fill="auto"/>
            <w:vAlign w:val="center"/>
            <w:hideMark/>
          </w:tcPr>
          <w:p w14:paraId="7F613DC0"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-94.5</w:t>
            </w:r>
          </w:p>
        </w:tc>
        <w:tc>
          <w:tcPr>
            <w:tcW w:w="680" w:type="dxa"/>
            <w:tcBorders>
              <w:top w:val="nil"/>
              <w:left w:val="nil"/>
              <w:bottom w:val="single" w:sz="4" w:space="0" w:color="auto"/>
              <w:right w:val="single" w:sz="4" w:space="0" w:color="auto"/>
            </w:tcBorders>
            <w:shd w:val="clear" w:color="auto" w:fill="auto"/>
            <w:vAlign w:val="center"/>
            <w:hideMark/>
          </w:tcPr>
          <w:p w14:paraId="508AEBE1"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-93.3</w:t>
            </w:r>
          </w:p>
        </w:tc>
        <w:tc>
          <w:tcPr>
            <w:tcW w:w="680" w:type="dxa"/>
            <w:tcBorders>
              <w:top w:val="nil"/>
              <w:left w:val="nil"/>
              <w:bottom w:val="single" w:sz="4" w:space="0" w:color="auto"/>
              <w:right w:val="single" w:sz="4" w:space="0" w:color="auto"/>
            </w:tcBorders>
            <w:shd w:val="clear" w:color="auto" w:fill="auto"/>
            <w:vAlign w:val="center"/>
            <w:hideMark/>
          </w:tcPr>
          <w:p w14:paraId="7C87FDC3"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-92.2</w:t>
            </w:r>
          </w:p>
        </w:tc>
        <w:tc>
          <w:tcPr>
            <w:tcW w:w="680" w:type="dxa"/>
            <w:tcBorders>
              <w:top w:val="nil"/>
              <w:left w:val="nil"/>
              <w:bottom w:val="single" w:sz="4" w:space="0" w:color="auto"/>
              <w:right w:val="single" w:sz="4" w:space="0" w:color="auto"/>
            </w:tcBorders>
            <w:shd w:val="clear" w:color="auto" w:fill="auto"/>
            <w:vAlign w:val="center"/>
            <w:hideMark/>
          </w:tcPr>
          <w:p w14:paraId="081F18AE"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-91.4</w:t>
            </w:r>
          </w:p>
        </w:tc>
        <w:tc>
          <w:tcPr>
            <w:tcW w:w="680" w:type="dxa"/>
            <w:tcBorders>
              <w:top w:val="nil"/>
              <w:left w:val="nil"/>
              <w:bottom w:val="single" w:sz="4" w:space="0" w:color="auto"/>
              <w:right w:val="single" w:sz="4" w:space="0" w:color="auto"/>
            </w:tcBorders>
            <w:shd w:val="clear" w:color="auto" w:fill="auto"/>
            <w:vAlign w:val="center"/>
            <w:hideMark/>
          </w:tcPr>
          <w:p w14:paraId="2C0281FC"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-90.7</w:t>
            </w:r>
          </w:p>
        </w:tc>
        <w:tc>
          <w:tcPr>
            <w:tcW w:w="680" w:type="dxa"/>
            <w:tcBorders>
              <w:top w:val="nil"/>
              <w:left w:val="nil"/>
              <w:bottom w:val="single" w:sz="4" w:space="0" w:color="auto"/>
              <w:right w:val="single" w:sz="4" w:space="0" w:color="auto"/>
            </w:tcBorders>
            <w:shd w:val="clear" w:color="auto" w:fill="auto"/>
            <w:vAlign w:val="center"/>
            <w:hideMark/>
          </w:tcPr>
          <w:p w14:paraId="774171EA"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-90.1</w:t>
            </w:r>
          </w:p>
        </w:tc>
        <w:tc>
          <w:tcPr>
            <w:tcW w:w="680" w:type="dxa"/>
            <w:tcBorders>
              <w:top w:val="nil"/>
              <w:left w:val="nil"/>
              <w:bottom w:val="single" w:sz="4" w:space="0" w:color="auto"/>
              <w:right w:val="single" w:sz="4" w:space="0" w:color="auto"/>
            </w:tcBorders>
            <w:shd w:val="clear" w:color="auto" w:fill="auto"/>
            <w:vAlign w:val="center"/>
            <w:hideMark/>
          </w:tcPr>
          <w:p w14:paraId="24BC2841"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-89.6</w:t>
            </w:r>
          </w:p>
        </w:tc>
      </w:tr>
      <w:tr w:rsidR="009C28E2" w:rsidRPr="009C28E2" w14:paraId="3268395C" w14:textId="77777777" w:rsidTr="009C28E2">
        <w:trPr>
          <w:trHeight w:val="70"/>
          <w:jc w:val="center"/>
        </w:trPr>
        <w:tc>
          <w:tcPr>
            <w:tcW w:w="689" w:type="dxa"/>
            <w:vMerge/>
            <w:tcBorders>
              <w:top w:val="nil"/>
              <w:left w:val="single" w:sz="4" w:space="0" w:color="auto"/>
              <w:bottom w:val="single" w:sz="4" w:space="0" w:color="auto"/>
              <w:right w:val="single" w:sz="4" w:space="0" w:color="auto"/>
            </w:tcBorders>
            <w:vAlign w:val="center"/>
            <w:hideMark/>
          </w:tcPr>
          <w:p w14:paraId="60FE707D" w14:textId="77777777" w:rsidR="009C28E2" w:rsidRPr="009C28E2" w:rsidRDefault="009C28E2" w:rsidP="009C28E2">
            <w:pPr>
              <w:overflowPunct/>
              <w:autoSpaceDE/>
              <w:autoSpaceDN/>
              <w:adjustRightInd/>
              <w:spacing w:after="0"/>
              <w:textAlignment w:val="auto"/>
              <w:rPr>
                <w:rFonts w:ascii="Calibri" w:hAnsi="Calibri" w:cs="Calibri"/>
                <w:color w:val="000000"/>
                <w:sz w:val="18"/>
                <w:szCs w:val="18"/>
              </w:rPr>
            </w:pPr>
          </w:p>
        </w:tc>
        <w:tc>
          <w:tcPr>
            <w:tcW w:w="1313" w:type="dxa"/>
            <w:vMerge/>
            <w:tcBorders>
              <w:top w:val="nil"/>
              <w:left w:val="single" w:sz="4" w:space="0" w:color="auto"/>
              <w:bottom w:val="single" w:sz="4" w:space="0" w:color="auto"/>
              <w:right w:val="single" w:sz="4" w:space="0" w:color="auto"/>
            </w:tcBorders>
            <w:vAlign w:val="center"/>
            <w:hideMark/>
          </w:tcPr>
          <w:p w14:paraId="1C2E67B8" w14:textId="77777777" w:rsidR="009C28E2" w:rsidRPr="009C28E2" w:rsidRDefault="009C28E2" w:rsidP="009C28E2">
            <w:pPr>
              <w:overflowPunct/>
              <w:autoSpaceDE/>
              <w:autoSpaceDN/>
              <w:adjustRightInd/>
              <w:spacing w:after="0"/>
              <w:textAlignment w:val="auto"/>
              <w:rPr>
                <w:rFonts w:ascii="Calibri" w:hAnsi="Calibri" w:cs="Calibri"/>
                <w:color w:val="000000"/>
                <w:sz w:val="18"/>
                <w:szCs w:val="18"/>
              </w:rPr>
            </w:pPr>
          </w:p>
        </w:tc>
        <w:tc>
          <w:tcPr>
            <w:tcW w:w="1411" w:type="dxa"/>
            <w:tcBorders>
              <w:top w:val="nil"/>
              <w:left w:val="nil"/>
              <w:bottom w:val="single" w:sz="4" w:space="0" w:color="auto"/>
              <w:right w:val="single" w:sz="4" w:space="0" w:color="auto"/>
            </w:tcBorders>
            <w:shd w:val="clear" w:color="auto" w:fill="auto"/>
            <w:vAlign w:val="center"/>
            <w:hideMark/>
          </w:tcPr>
          <w:p w14:paraId="3B4DBE6F"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Scaled</w:t>
            </w:r>
          </w:p>
        </w:tc>
        <w:tc>
          <w:tcPr>
            <w:tcW w:w="680" w:type="dxa"/>
            <w:tcBorders>
              <w:top w:val="nil"/>
              <w:left w:val="nil"/>
              <w:bottom w:val="single" w:sz="4" w:space="0" w:color="auto"/>
              <w:right w:val="single" w:sz="4" w:space="0" w:color="auto"/>
            </w:tcBorders>
            <w:shd w:val="clear" w:color="auto" w:fill="auto"/>
            <w:vAlign w:val="center"/>
            <w:hideMark/>
          </w:tcPr>
          <w:p w14:paraId="308F71D5"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-99.5</w:t>
            </w:r>
          </w:p>
        </w:tc>
        <w:tc>
          <w:tcPr>
            <w:tcW w:w="640" w:type="dxa"/>
            <w:tcBorders>
              <w:top w:val="nil"/>
              <w:left w:val="nil"/>
              <w:bottom w:val="single" w:sz="4" w:space="0" w:color="auto"/>
              <w:right w:val="single" w:sz="4" w:space="0" w:color="auto"/>
            </w:tcBorders>
            <w:shd w:val="clear" w:color="auto" w:fill="auto"/>
            <w:vAlign w:val="center"/>
            <w:hideMark/>
          </w:tcPr>
          <w:p w14:paraId="0A0EB320"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-96.3</w:t>
            </w:r>
          </w:p>
        </w:tc>
        <w:tc>
          <w:tcPr>
            <w:tcW w:w="680" w:type="dxa"/>
            <w:tcBorders>
              <w:top w:val="nil"/>
              <w:left w:val="nil"/>
              <w:bottom w:val="single" w:sz="4" w:space="0" w:color="auto"/>
              <w:right w:val="single" w:sz="4" w:space="0" w:color="auto"/>
            </w:tcBorders>
            <w:shd w:val="clear" w:color="auto" w:fill="auto"/>
            <w:vAlign w:val="center"/>
            <w:hideMark/>
          </w:tcPr>
          <w:p w14:paraId="70FA95AF"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-94.5</w:t>
            </w:r>
          </w:p>
        </w:tc>
        <w:tc>
          <w:tcPr>
            <w:tcW w:w="680" w:type="dxa"/>
            <w:tcBorders>
              <w:top w:val="nil"/>
              <w:left w:val="nil"/>
              <w:bottom w:val="single" w:sz="4" w:space="0" w:color="auto"/>
              <w:right w:val="single" w:sz="4" w:space="0" w:color="auto"/>
            </w:tcBorders>
            <w:shd w:val="clear" w:color="auto" w:fill="auto"/>
            <w:vAlign w:val="center"/>
            <w:hideMark/>
          </w:tcPr>
          <w:p w14:paraId="584D4A37"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-93.2</w:t>
            </w:r>
          </w:p>
        </w:tc>
        <w:tc>
          <w:tcPr>
            <w:tcW w:w="680" w:type="dxa"/>
            <w:tcBorders>
              <w:top w:val="nil"/>
              <w:left w:val="nil"/>
              <w:bottom w:val="single" w:sz="4" w:space="0" w:color="auto"/>
              <w:right w:val="single" w:sz="4" w:space="0" w:color="auto"/>
            </w:tcBorders>
            <w:shd w:val="clear" w:color="auto" w:fill="auto"/>
            <w:vAlign w:val="center"/>
            <w:hideMark/>
          </w:tcPr>
          <w:p w14:paraId="282512B3"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-92.2</w:t>
            </w:r>
          </w:p>
        </w:tc>
        <w:tc>
          <w:tcPr>
            <w:tcW w:w="680" w:type="dxa"/>
            <w:tcBorders>
              <w:top w:val="nil"/>
              <w:left w:val="nil"/>
              <w:bottom w:val="single" w:sz="4" w:space="0" w:color="auto"/>
              <w:right w:val="single" w:sz="4" w:space="0" w:color="auto"/>
            </w:tcBorders>
            <w:shd w:val="clear" w:color="auto" w:fill="auto"/>
            <w:vAlign w:val="center"/>
            <w:hideMark/>
          </w:tcPr>
          <w:p w14:paraId="314B1407"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-91.4</w:t>
            </w:r>
          </w:p>
        </w:tc>
        <w:tc>
          <w:tcPr>
            <w:tcW w:w="680" w:type="dxa"/>
            <w:tcBorders>
              <w:top w:val="nil"/>
              <w:left w:val="nil"/>
              <w:bottom w:val="single" w:sz="4" w:space="0" w:color="auto"/>
              <w:right w:val="single" w:sz="4" w:space="0" w:color="auto"/>
            </w:tcBorders>
            <w:shd w:val="clear" w:color="auto" w:fill="auto"/>
            <w:vAlign w:val="center"/>
            <w:hideMark/>
          </w:tcPr>
          <w:p w14:paraId="284C1075"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-90.7</w:t>
            </w:r>
          </w:p>
        </w:tc>
        <w:tc>
          <w:tcPr>
            <w:tcW w:w="680" w:type="dxa"/>
            <w:tcBorders>
              <w:top w:val="nil"/>
              <w:left w:val="nil"/>
              <w:bottom w:val="single" w:sz="4" w:space="0" w:color="auto"/>
              <w:right w:val="single" w:sz="4" w:space="0" w:color="auto"/>
            </w:tcBorders>
            <w:shd w:val="clear" w:color="auto" w:fill="auto"/>
            <w:vAlign w:val="center"/>
            <w:hideMark/>
          </w:tcPr>
          <w:p w14:paraId="09203006"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-90.1</w:t>
            </w:r>
          </w:p>
        </w:tc>
        <w:tc>
          <w:tcPr>
            <w:tcW w:w="680" w:type="dxa"/>
            <w:tcBorders>
              <w:top w:val="nil"/>
              <w:left w:val="nil"/>
              <w:bottom w:val="single" w:sz="4" w:space="0" w:color="auto"/>
              <w:right w:val="single" w:sz="4" w:space="0" w:color="auto"/>
            </w:tcBorders>
            <w:shd w:val="clear" w:color="auto" w:fill="auto"/>
            <w:vAlign w:val="center"/>
            <w:hideMark/>
          </w:tcPr>
          <w:p w14:paraId="32DF0FA7"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rPr>
              <w:t>-89.6</w:t>
            </w:r>
          </w:p>
        </w:tc>
      </w:tr>
      <w:tr w:rsidR="009C28E2" w:rsidRPr="009C28E2" w14:paraId="3C5B4F88" w14:textId="77777777" w:rsidTr="009C28E2">
        <w:trPr>
          <w:trHeight w:val="70"/>
          <w:jc w:val="center"/>
        </w:trPr>
        <w:tc>
          <w:tcPr>
            <w:tcW w:w="689" w:type="dxa"/>
            <w:vMerge/>
            <w:tcBorders>
              <w:top w:val="nil"/>
              <w:left w:val="single" w:sz="4" w:space="0" w:color="auto"/>
              <w:bottom w:val="single" w:sz="4" w:space="0" w:color="auto"/>
              <w:right w:val="single" w:sz="4" w:space="0" w:color="auto"/>
            </w:tcBorders>
            <w:vAlign w:val="center"/>
            <w:hideMark/>
          </w:tcPr>
          <w:p w14:paraId="636D4108" w14:textId="77777777" w:rsidR="009C28E2" w:rsidRPr="009C28E2" w:rsidRDefault="009C28E2" w:rsidP="009C28E2">
            <w:pPr>
              <w:overflowPunct/>
              <w:autoSpaceDE/>
              <w:autoSpaceDN/>
              <w:adjustRightInd/>
              <w:spacing w:after="0"/>
              <w:textAlignment w:val="auto"/>
              <w:rPr>
                <w:rFonts w:ascii="Calibri" w:hAnsi="Calibri" w:cs="Calibri"/>
                <w:color w:val="000000"/>
                <w:sz w:val="18"/>
                <w:szCs w:val="18"/>
              </w:rPr>
            </w:pPr>
          </w:p>
        </w:tc>
        <w:tc>
          <w:tcPr>
            <w:tcW w:w="1313" w:type="dxa"/>
            <w:vMerge/>
            <w:tcBorders>
              <w:top w:val="nil"/>
              <w:left w:val="single" w:sz="4" w:space="0" w:color="auto"/>
              <w:bottom w:val="single" w:sz="4" w:space="0" w:color="auto"/>
              <w:right w:val="single" w:sz="4" w:space="0" w:color="auto"/>
            </w:tcBorders>
            <w:vAlign w:val="center"/>
            <w:hideMark/>
          </w:tcPr>
          <w:p w14:paraId="7164BC1A" w14:textId="77777777" w:rsidR="009C28E2" w:rsidRPr="009C28E2" w:rsidRDefault="009C28E2" w:rsidP="009C28E2">
            <w:pPr>
              <w:overflowPunct/>
              <w:autoSpaceDE/>
              <w:autoSpaceDN/>
              <w:adjustRightInd/>
              <w:spacing w:after="0"/>
              <w:textAlignment w:val="auto"/>
              <w:rPr>
                <w:rFonts w:ascii="Calibri" w:hAnsi="Calibri" w:cs="Calibri"/>
                <w:color w:val="000000"/>
                <w:sz w:val="18"/>
                <w:szCs w:val="18"/>
              </w:rPr>
            </w:pPr>
          </w:p>
        </w:tc>
        <w:tc>
          <w:tcPr>
            <w:tcW w:w="1411" w:type="dxa"/>
            <w:tcBorders>
              <w:top w:val="nil"/>
              <w:left w:val="nil"/>
              <w:bottom w:val="single" w:sz="4" w:space="0" w:color="auto"/>
              <w:right w:val="single" w:sz="4" w:space="0" w:color="auto"/>
            </w:tcBorders>
            <w:shd w:val="clear" w:color="auto" w:fill="auto"/>
            <w:vAlign w:val="center"/>
            <w:hideMark/>
          </w:tcPr>
          <w:p w14:paraId="40911660" w14:textId="0518890C"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delta vs scaled</w:t>
            </w:r>
          </w:p>
        </w:tc>
        <w:tc>
          <w:tcPr>
            <w:tcW w:w="680" w:type="dxa"/>
            <w:tcBorders>
              <w:top w:val="nil"/>
              <w:left w:val="nil"/>
              <w:bottom w:val="single" w:sz="4" w:space="0" w:color="auto"/>
              <w:right w:val="single" w:sz="4" w:space="0" w:color="auto"/>
            </w:tcBorders>
            <w:shd w:val="clear" w:color="000000" w:fill="92D050"/>
            <w:vAlign w:val="center"/>
            <w:hideMark/>
          </w:tcPr>
          <w:p w14:paraId="19142E21"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0.0</w:t>
            </w:r>
          </w:p>
        </w:tc>
        <w:tc>
          <w:tcPr>
            <w:tcW w:w="640" w:type="dxa"/>
            <w:tcBorders>
              <w:top w:val="nil"/>
              <w:left w:val="nil"/>
              <w:bottom w:val="single" w:sz="4" w:space="0" w:color="auto"/>
              <w:right w:val="single" w:sz="4" w:space="0" w:color="auto"/>
            </w:tcBorders>
            <w:shd w:val="clear" w:color="000000" w:fill="92D050"/>
            <w:vAlign w:val="center"/>
            <w:hideMark/>
          </w:tcPr>
          <w:p w14:paraId="363A65E1"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0.0</w:t>
            </w:r>
          </w:p>
        </w:tc>
        <w:tc>
          <w:tcPr>
            <w:tcW w:w="680" w:type="dxa"/>
            <w:tcBorders>
              <w:top w:val="nil"/>
              <w:left w:val="nil"/>
              <w:bottom w:val="single" w:sz="4" w:space="0" w:color="auto"/>
              <w:right w:val="single" w:sz="4" w:space="0" w:color="auto"/>
            </w:tcBorders>
            <w:shd w:val="clear" w:color="000000" w:fill="92D050"/>
            <w:vAlign w:val="center"/>
            <w:hideMark/>
          </w:tcPr>
          <w:p w14:paraId="796343EC"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0.0</w:t>
            </w:r>
          </w:p>
        </w:tc>
        <w:tc>
          <w:tcPr>
            <w:tcW w:w="680" w:type="dxa"/>
            <w:tcBorders>
              <w:top w:val="nil"/>
              <w:left w:val="nil"/>
              <w:bottom w:val="single" w:sz="4" w:space="0" w:color="auto"/>
              <w:right w:val="single" w:sz="4" w:space="0" w:color="auto"/>
            </w:tcBorders>
            <w:shd w:val="clear" w:color="000000" w:fill="92D050"/>
            <w:vAlign w:val="center"/>
            <w:hideMark/>
          </w:tcPr>
          <w:p w14:paraId="7031B71B"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-0.1</w:t>
            </w:r>
          </w:p>
        </w:tc>
        <w:tc>
          <w:tcPr>
            <w:tcW w:w="680" w:type="dxa"/>
            <w:tcBorders>
              <w:top w:val="nil"/>
              <w:left w:val="nil"/>
              <w:bottom w:val="single" w:sz="4" w:space="0" w:color="auto"/>
              <w:right w:val="single" w:sz="4" w:space="0" w:color="auto"/>
            </w:tcBorders>
            <w:shd w:val="clear" w:color="000000" w:fill="92D050"/>
            <w:vAlign w:val="center"/>
            <w:hideMark/>
          </w:tcPr>
          <w:p w14:paraId="3E4A891C"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lang w:val="en-GB"/>
              </w:rPr>
              <w:t>0.0</w:t>
            </w:r>
          </w:p>
        </w:tc>
        <w:tc>
          <w:tcPr>
            <w:tcW w:w="680" w:type="dxa"/>
            <w:tcBorders>
              <w:top w:val="nil"/>
              <w:left w:val="nil"/>
              <w:bottom w:val="single" w:sz="4" w:space="0" w:color="auto"/>
              <w:right w:val="single" w:sz="4" w:space="0" w:color="auto"/>
            </w:tcBorders>
            <w:shd w:val="clear" w:color="000000" w:fill="92D050"/>
            <w:vAlign w:val="center"/>
            <w:hideMark/>
          </w:tcPr>
          <w:p w14:paraId="4C7ACC37"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lang w:val="en-GB"/>
              </w:rPr>
              <w:t>0.0</w:t>
            </w:r>
          </w:p>
        </w:tc>
        <w:tc>
          <w:tcPr>
            <w:tcW w:w="680" w:type="dxa"/>
            <w:tcBorders>
              <w:top w:val="nil"/>
              <w:left w:val="nil"/>
              <w:bottom w:val="single" w:sz="4" w:space="0" w:color="auto"/>
              <w:right w:val="single" w:sz="4" w:space="0" w:color="auto"/>
            </w:tcBorders>
            <w:shd w:val="clear" w:color="000000" w:fill="92D050"/>
            <w:vAlign w:val="center"/>
            <w:hideMark/>
          </w:tcPr>
          <w:p w14:paraId="1DF93A0A"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0.0</w:t>
            </w:r>
          </w:p>
        </w:tc>
        <w:tc>
          <w:tcPr>
            <w:tcW w:w="680" w:type="dxa"/>
            <w:tcBorders>
              <w:top w:val="nil"/>
              <w:left w:val="nil"/>
              <w:bottom w:val="single" w:sz="4" w:space="0" w:color="auto"/>
              <w:right w:val="single" w:sz="4" w:space="0" w:color="auto"/>
            </w:tcBorders>
            <w:shd w:val="clear" w:color="000000" w:fill="92D050"/>
            <w:vAlign w:val="center"/>
            <w:hideMark/>
          </w:tcPr>
          <w:p w14:paraId="7D346639"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hAnsi="Calibri" w:cs="Calibri"/>
                <w:color w:val="000000"/>
                <w:sz w:val="18"/>
                <w:szCs w:val="18"/>
                <w:lang w:val="en-GB"/>
              </w:rPr>
              <w:t>0.0</w:t>
            </w:r>
          </w:p>
        </w:tc>
        <w:tc>
          <w:tcPr>
            <w:tcW w:w="680" w:type="dxa"/>
            <w:tcBorders>
              <w:top w:val="nil"/>
              <w:left w:val="nil"/>
              <w:bottom w:val="single" w:sz="4" w:space="0" w:color="auto"/>
              <w:right w:val="single" w:sz="4" w:space="0" w:color="auto"/>
            </w:tcBorders>
            <w:shd w:val="clear" w:color="000000" w:fill="92D050"/>
            <w:vAlign w:val="center"/>
            <w:hideMark/>
          </w:tcPr>
          <w:p w14:paraId="5E429BAE" w14:textId="77777777" w:rsidR="009C28E2" w:rsidRPr="009C28E2" w:rsidRDefault="009C28E2" w:rsidP="009C28E2">
            <w:pPr>
              <w:overflowPunct/>
              <w:autoSpaceDE/>
              <w:autoSpaceDN/>
              <w:adjustRightInd/>
              <w:spacing w:after="0"/>
              <w:jc w:val="center"/>
              <w:textAlignment w:val="auto"/>
              <w:rPr>
                <w:rFonts w:ascii="Calibri" w:hAnsi="Calibri" w:cs="Calibri"/>
                <w:color w:val="000000"/>
                <w:sz w:val="18"/>
                <w:szCs w:val="18"/>
              </w:rPr>
            </w:pPr>
            <w:r w:rsidRPr="009C28E2">
              <w:rPr>
                <w:rFonts w:ascii="Calibri" w:eastAsia="PMingLiU" w:hAnsi="Calibri" w:cs="Calibri"/>
                <w:color w:val="000000"/>
                <w:sz w:val="18"/>
                <w:szCs w:val="18"/>
              </w:rPr>
              <w:t>0.0</w:t>
            </w:r>
          </w:p>
        </w:tc>
      </w:tr>
    </w:tbl>
    <w:p w14:paraId="7D3A3B42" w14:textId="3E00549A" w:rsidR="009C28E2" w:rsidRDefault="009C28E2" w:rsidP="009C28E2"/>
    <w:p w14:paraId="1A00DED5" w14:textId="6CDF95A8" w:rsidR="00F15ABA" w:rsidRPr="009C28E2" w:rsidRDefault="009C28E2" w:rsidP="009C28E2">
      <w:pPr>
        <w:spacing w:after="0"/>
        <w:rPr>
          <w:b/>
          <w:bCs/>
          <w:lang w:val="en-GB" w:eastAsia="zh-CN"/>
        </w:rPr>
      </w:pPr>
      <w:bookmarkStart w:id="6" w:name="_Hlk115194530"/>
      <w:r w:rsidRPr="009C28E2">
        <w:rPr>
          <w:b/>
          <w:bCs/>
          <w:lang w:val="en-GB" w:eastAsia="zh-CN"/>
        </w:rPr>
        <w:t>Observation:</w:t>
      </w:r>
    </w:p>
    <w:p w14:paraId="587D4FBB" w14:textId="4C8A44ED" w:rsidR="009C28E2" w:rsidRDefault="00444AAD" w:rsidP="009C28E2">
      <w:pPr>
        <w:pStyle w:val="ListParagraph"/>
        <w:numPr>
          <w:ilvl w:val="0"/>
          <w:numId w:val="38"/>
        </w:numPr>
        <w:rPr>
          <w:b/>
          <w:bCs/>
          <w:lang w:val="en-GB" w:eastAsia="zh-CN"/>
        </w:rPr>
      </w:pPr>
      <w:r>
        <w:rPr>
          <w:b/>
          <w:bCs/>
          <w:lang w:val="en-GB" w:eastAsia="zh-CN"/>
        </w:rPr>
        <w:t>Due</w:t>
      </w:r>
      <w:r w:rsidR="009C28E2" w:rsidRPr="009C28E2">
        <w:rPr>
          <w:b/>
          <w:bCs/>
          <w:lang w:val="en-GB" w:eastAsia="zh-CN"/>
        </w:rPr>
        <w:t xml:space="preserve"> to its large duplex distance, n66 is not affected by UL noise and thus the Reference Sensitivity Degradation from PC3 to PC2</w:t>
      </w:r>
      <w:r w:rsidR="009C28E2">
        <w:rPr>
          <w:b/>
          <w:bCs/>
          <w:lang w:val="en-GB" w:eastAsia="zh-CN"/>
        </w:rPr>
        <w:t xml:space="preserve"> can be 0dB for both 1Tx and 2T</w:t>
      </w:r>
      <w:r>
        <w:rPr>
          <w:b/>
          <w:bCs/>
          <w:lang w:val="en-GB" w:eastAsia="zh-CN"/>
        </w:rPr>
        <w:t>x</w:t>
      </w:r>
      <w:r w:rsidR="009C28E2">
        <w:rPr>
          <w:b/>
          <w:bCs/>
          <w:lang w:val="en-GB" w:eastAsia="zh-CN"/>
        </w:rPr>
        <w:t xml:space="preserve"> like for n1</w:t>
      </w:r>
    </w:p>
    <w:p w14:paraId="5F466858" w14:textId="4510B546" w:rsidR="009C28E2" w:rsidRDefault="009C28E2" w:rsidP="009C28E2">
      <w:pPr>
        <w:pStyle w:val="ListParagraph"/>
        <w:numPr>
          <w:ilvl w:val="0"/>
          <w:numId w:val="38"/>
        </w:numPr>
        <w:rPr>
          <w:b/>
          <w:bCs/>
          <w:lang w:val="en-GB" w:eastAsia="zh-CN"/>
        </w:rPr>
      </w:pPr>
      <w:r>
        <w:rPr>
          <w:b/>
          <w:bCs/>
          <w:lang w:val="en-GB" w:eastAsia="zh-CN"/>
        </w:rPr>
        <w:t xml:space="preserve">However, n2 and n25 see significantly degraded REFSENS due to UL noise above 25MHz CBW and thus will see further degradation for </w:t>
      </w:r>
      <w:r w:rsidR="00B7375C">
        <w:rPr>
          <w:b/>
          <w:bCs/>
          <w:lang w:val="en-GB" w:eastAsia="zh-CN"/>
        </w:rPr>
        <w:t xml:space="preserve">PC2 </w:t>
      </w:r>
      <w:r>
        <w:rPr>
          <w:b/>
          <w:bCs/>
          <w:lang w:val="en-GB" w:eastAsia="zh-CN"/>
        </w:rPr>
        <w:t>1Tx</w:t>
      </w:r>
      <w:r w:rsidR="0081735A">
        <w:rPr>
          <w:b/>
          <w:bCs/>
          <w:lang w:val="en-GB" w:eastAsia="zh-CN"/>
        </w:rPr>
        <w:t xml:space="preserve"> </w:t>
      </w:r>
      <w:r w:rsidR="00B7375C">
        <w:rPr>
          <w:b/>
          <w:bCs/>
          <w:lang w:val="en-GB" w:eastAsia="zh-CN"/>
        </w:rPr>
        <w:t xml:space="preserve">compared to PC3 </w:t>
      </w:r>
      <w:r>
        <w:rPr>
          <w:b/>
          <w:bCs/>
          <w:lang w:val="en-GB" w:eastAsia="zh-CN"/>
        </w:rPr>
        <w:t xml:space="preserve">and </w:t>
      </w:r>
      <w:r w:rsidR="00B7375C">
        <w:rPr>
          <w:b/>
          <w:bCs/>
          <w:lang w:val="en-GB" w:eastAsia="zh-CN"/>
        </w:rPr>
        <w:t>this will be further emphasized for 2Tx as for n3.</w:t>
      </w:r>
    </w:p>
    <w:p w14:paraId="25B6B14B" w14:textId="39ACF750" w:rsidR="00B7375C" w:rsidRDefault="00B7375C" w:rsidP="00B7375C">
      <w:pPr>
        <w:spacing w:after="0"/>
        <w:rPr>
          <w:b/>
          <w:bCs/>
          <w:lang w:val="en-GB" w:eastAsia="zh-CN"/>
        </w:rPr>
      </w:pPr>
      <w:r>
        <w:rPr>
          <w:b/>
          <w:bCs/>
          <w:lang w:val="en-GB" w:eastAsia="zh-CN"/>
        </w:rPr>
        <w:t>Proposal on MSD:</w:t>
      </w:r>
    </w:p>
    <w:p w14:paraId="3B988C82" w14:textId="7BBD43F2" w:rsidR="00B7375C" w:rsidRDefault="00B7375C" w:rsidP="00B7375C">
      <w:pPr>
        <w:pStyle w:val="ListParagraph"/>
        <w:numPr>
          <w:ilvl w:val="0"/>
          <w:numId w:val="39"/>
        </w:numPr>
        <w:rPr>
          <w:b/>
          <w:bCs/>
          <w:lang w:val="en-GB" w:eastAsia="zh-CN"/>
        </w:rPr>
      </w:pPr>
      <w:r w:rsidRPr="00B7375C">
        <w:rPr>
          <w:b/>
          <w:bCs/>
          <w:lang w:val="en-GB" w:eastAsia="zh-CN"/>
        </w:rPr>
        <w:t xml:space="preserve">n66 Reference Sensitivity Degradation from PC3 to PC2 </w:t>
      </w:r>
      <w:r>
        <w:rPr>
          <w:b/>
          <w:bCs/>
          <w:lang w:val="en-GB" w:eastAsia="zh-CN"/>
        </w:rPr>
        <w:t>is</w:t>
      </w:r>
      <w:r w:rsidRPr="00B7375C">
        <w:rPr>
          <w:b/>
          <w:bCs/>
          <w:lang w:val="en-GB" w:eastAsia="zh-CN"/>
        </w:rPr>
        <w:t xml:space="preserve"> 0dB for both 1Tx and 2T</w:t>
      </w:r>
      <w:r w:rsidR="0081735A">
        <w:rPr>
          <w:b/>
          <w:bCs/>
          <w:lang w:val="en-GB" w:eastAsia="zh-CN"/>
        </w:rPr>
        <w:t>x</w:t>
      </w:r>
    </w:p>
    <w:p w14:paraId="523374EA" w14:textId="2E6FFE44" w:rsidR="00B7375C" w:rsidRDefault="00B7375C" w:rsidP="00B7375C">
      <w:pPr>
        <w:pStyle w:val="ListParagraph"/>
        <w:numPr>
          <w:ilvl w:val="0"/>
          <w:numId w:val="39"/>
        </w:numPr>
        <w:rPr>
          <w:b/>
          <w:bCs/>
          <w:lang w:val="en-GB" w:eastAsia="zh-CN"/>
        </w:rPr>
      </w:pPr>
      <w:r>
        <w:rPr>
          <w:b/>
          <w:bCs/>
          <w:lang w:val="en-GB" w:eastAsia="zh-CN"/>
        </w:rPr>
        <w:t xml:space="preserve">n2 and n25 </w:t>
      </w:r>
      <w:r w:rsidRPr="00B7375C">
        <w:rPr>
          <w:b/>
          <w:bCs/>
          <w:lang w:val="en-GB" w:eastAsia="zh-CN"/>
        </w:rPr>
        <w:t>Reference Sensitivity Degradation</w:t>
      </w:r>
      <w:r>
        <w:rPr>
          <w:b/>
          <w:bCs/>
          <w:lang w:val="en-GB" w:eastAsia="zh-CN"/>
        </w:rPr>
        <w:t xml:space="preserve"> should be assessed for PC2 1T</w:t>
      </w:r>
      <w:r w:rsidR="0081735A">
        <w:rPr>
          <w:b/>
          <w:bCs/>
          <w:lang w:val="en-GB" w:eastAsia="zh-CN"/>
        </w:rPr>
        <w:t>x</w:t>
      </w:r>
      <w:r>
        <w:rPr>
          <w:b/>
          <w:bCs/>
          <w:lang w:val="en-GB" w:eastAsia="zh-CN"/>
        </w:rPr>
        <w:t xml:space="preserve"> and 2T</w:t>
      </w:r>
      <w:r w:rsidR="0081735A">
        <w:rPr>
          <w:b/>
          <w:bCs/>
          <w:lang w:val="en-GB" w:eastAsia="zh-CN"/>
        </w:rPr>
        <w:t>x</w:t>
      </w:r>
      <w:r>
        <w:rPr>
          <w:b/>
          <w:bCs/>
          <w:lang w:val="en-GB" w:eastAsia="zh-CN"/>
        </w:rPr>
        <w:t xml:space="preserve"> for CBW &gt;25MHz for </w:t>
      </w:r>
      <w:r w:rsidR="00065011">
        <w:rPr>
          <w:b/>
          <w:bCs/>
          <w:lang w:val="en-GB" w:eastAsia="zh-CN"/>
        </w:rPr>
        <w:t xml:space="preserve">UL and its image IMD order &lt;9 </w:t>
      </w:r>
      <w:r>
        <w:rPr>
          <w:b/>
          <w:bCs/>
          <w:lang w:val="en-GB" w:eastAsia="zh-CN"/>
        </w:rPr>
        <w:t>and potentially checked at 25MHz</w:t>
      </w:r>
      <w:r w:rsidR="00065011">
        <w:rPr>
          <w:b/>
          <w:bCs/>
          <w:lang w:val="en-GB" w:eastAsia="zh-CN"/>
        </w:rPr>
        <w:t xml:space="preserve"> for IMD9</w:t>
      </w:r>
    </w:p>
    <w:p w14:paraId="3C908D06" w14:textId="2D070AA2" w:rsidR="00CB3F29" w:rsidRPr="000D2EE1" w:rsidRDefault="00CB3F29" w:rsidP="00B7375C">
      <w:pPr>
        <w:pStyle w:val="ListParagraph"/>
        <w:numPr>
          <w:ilvl w:val="0"/>
          <w:numId w:val="39"/>
        </w:numPr>
        <w:rPr>
          <w:b/>
          <w:bCs/>
          <w:lang w:val="en-GB" w:eastAsia="zh-CN"/>
        </w:rPr>
      </w:pPr>
      <w:bookmarkStart w:id="7" w:name="_Hlk115194781"/>
      <w:r>
        <w:rPr>
          <w:b/>
          <w:bCs/>
          <w:lang w:val="en-GB" w:eastAsia="zh-CN"/>
        </w:rPr>
        <w:t>Same UL configuration than PC3 is used for PC2</w:t>
      </w:r>
      <w:r w:rsidR="0081735A">
        <w:rPr>
          <w:b/>
          <w:bCs/>
          <w:lang w:val="en-GB" w:eastAsia="zh-CN"/>
        </w:rPr>
        <w:t>.</w:t>
      </w:r>
    </w:p>
    <w:bookmarkEnd w:id="6"/>
    <w:bookmarkEnd w:id="7"/>
    <w:p w14:paraId="4432AA1F" w14:textId="2EF05C26" w:rsidR="00F429DD" w:rsidRDefault="00F429DD" w:rsidP="00BA7292">
      <w:pPr>
        <w:pStyle w:val="Heading2"/>
        <w:spacing w:after="240"/>
        <w:rPr>
          <w:lang w:eastAsia="zh-CN"/>
        </w:rPr>
      </w:pPr>
      <w:r>
        <w:rPr>
          <w:lang w:eastAsia="zh-CN"/>
        </w:rPr>
        <w:t>A-MPR for mid bands</w:t>
      </w:r>
    </w:p>
    <w:bookmarkEnd w:id="3"/>
    <w:p w14:paraId="164B9A06" w14:textId="778F03D3" w:rsidR="00BA7292" w:rsidRDefault="00C62790" w:rsidP="00F429DD">
      <w:pPr>
        <w:pStyle w:val="Heading3"/>
        <w:tabs>
          <w:tab w:val="num" w:pos="720"/>
        </w:tabs>
        <w:spacing w:after="240"/>
        <w:ind w:left="720"/>
        <w:rPr>
          <w:lang w:eastAsia="zh-CN"/>
        </w:rPr>
      </w:pPr>
      <w:r>
        <w:rPr>
          <w:lang w:eastAsia="zh-CN"/>
        </w:rPr>
        <w:lastRenderedPageBreak/>
        <w:t>Applicable NS for requested PC2 FDD bands</w:t>
      </w:r>
    </w:p>
    <w:p w14:paraId="645ABF3B" w14:textId="70D4E397" w:rsidR="00F429DD" w:rsidRDefault="0081735A" w:rsidP="00F429DD">
      <w:pPr>
        <w:rPr>
          <w:lang w:val="en-GB" w:eastAsia="zh-CN"/>
        </w:rPr>
      </w:pPr>
      <w:bookmarkStart w:id="8" w:name="_Hlk115175362"/>
      <w:r>
        <w:rPr>
          <w:lang w:val="en-GB" w:eastAsia="zh-CN"/>
        </w:rPr>
        <w:t>In addition to</w:t>
      </w:r>
      <w:r w:rsidR="008C538F">
        <w:rPr>
          <w:lang w:val="en-GB" w:eastAsia="zh-CN"/>
        </w:rPr>
        <w:t xml:space="preserve"> NS_01, a</w:t>
      </w:r>
      <w:r w:rsidR="00F429DD">
        <w:rPr>
          <w:lang w:val="en-GB" w:eastAsia="zh-CN"/>
        </w:rPr>
        <w:t xml:space="preserve">ll requested mid bands </w:t>
      </w:r>
      <w:bookmarkEnd w:id="8"/>
      <w:r w:rsidR="00F429DD">
        <w:rPr>
          <w:lang w:val="en-GB" w:eastAsia="zh-CN"/>
        </w:rPr>
        <w:t xml:space="preserve">n2, n25 and n66 </w:t>
      </w:r>
      <w:r>
        <w:rPr>
          <w:lang w:val="en-GB" w:eastAsia="zh-CN"/>
        </w:rPr>
        <w:t>must</w:t>
      </w:r>
      <w:r w:rsidR="00F429DD">
        <w:rPr>
          <w:lang w:val="en-GB" w:eastAsia="zh-CN"/>
        </w:rPr>
        <w:t xml:space="preserve"> fulfil NS</w:t>
      </w:r>
      <w:r>
        <w:rPr>
          <w:lang w:val="en-GB" w:eastAsia="zh-CN"/>
        </w:rPr>
        <w:t>_</w:t>
      </w:r>
      <w:r w:rsidR="00F429DD">
        <w:rPr>
          <w:lang w:val="en-GB" w:eastAsia="zh-CN"/>
        </w:rPr>
        <w:t>100 for UTRA ACLR (33dB ACLR1 and 33dB ACLR2) and NS_03/03U for specific SEM mask.</w:t>
      </w:r>
    </w:p>
    <w:p w14:paraId="3F9C166D" w14:textId="77777777" w:rsidR="0081735A" w:rsidRDefault="00F429DD" w:rsidP="00F429DD">
      <w:pPr>
        <w:rPr>
          <w:lang w:val="en-GB" w:eastAsia="zh-CN"/>
        </w:rPr>
      </w:pPr>
      <w:r>
        <w:rPr>
          <w:lang w:val="en-GB" w:eastAsia="zh-CN"/>
        </w:rPr>
        <w:t xml:space="preserve">For NS_100, </w:t>
      </w:r>
      <w:bookmarkStart w:id="9" w:name="_Hlk115175466"/>
      <w:r>
        <w:rPr>
          <w:lang w:val="en-GB" w:eastAsia="zh-CN"/>
        </w:rPr>
        <w:t xml:space="preserve">since this </w:t>
      </w:r>
      <w:r w:rsidR="00454C17">
        <w:rPr>
          <w:lang w:val="en-GB" w:eastAsia="zh-CN"/>
        </w:rPr>
        <w:t xml:space="preserve">is </w:t>
      </w:r>
      <w:r>
        <w:rPr>
          <w:lang w:val="en-GB" w:eastAsia="zh-CN"/>
        </w:rPr>
        <w:t>related to a</w:t>
      </w:r>
      <w:r w:rsidR="0081735A">
        <w:rPr>
          <w:lang w:val="en-GB" w:eastAsia="zh-CN"/>
        </w:rPr>
        <w:t>n additional ACLR</w:t>
      </w:r>
      <w:r>
        <w:rPr>
          <w:lang w:val="en-GB" w:eastAsia="zh-CN"/>
        </w:rPr>
        <w:t xml:space="preserve"> requirement, and that PC2 ACLR at 31dB is 1dB lower than for </w:t>
      </w:r>
      <w:r w:rsidR="008C538F">
        <w:rPr>
          <w:lang w:val="en-GB" w:eastAsia="zh-CN"/>
        </w:rPr>
        <w:t>PC3, it is logical that the PC3 MPR</w:t>
      </w:r>
      <w:r w:rsidR="00454C17">
        <w:rPr>
          <w:lang w:val="en-GB" w:eastAsia="zh-CN"/>
        </w:rPr>
        <w:t xml:space="preserve"> in Table </w:t>
      </w:r>
      <w:r w:rsidR="009C28E2">
        <w:rPr>
          <w:lang w:val="en-GB" w:eastAsia="zh-CN"/>
        </w:rPr>
        <w:t>2</w:t>
      </w:r>
      <w:r w:rsidR="008C538F">
        <w:rPr>
          <w:lang w:val="en-GB" w:eastAsia="zh-CN"/>
        </w:rPr>
        <w:t xml:space="preserve"> is sufficient for PC2</w:t>
      </w:r>
      <w:r w:rsidR="00454C17">
        <w:rPr>
          <w:lang w:val="en-GB" w:eastAsia="zh-CN"/>
        </w:rPr>
        <w:t>.</w:t>
      </w:r>
      <w:r w:rsidR="008C538F">
        <w:rPr>
          <w:lang w:val="en-GB" w:eastAsia="zh-CN"/>
        </w:rPr>
        <w:t xml:space="preserve"> </w:t>
      </w:r>
    </w:p>
    <w:p w14:paraId="394EADD6" w14:textId="2853686B" w:rsidR="00C62790" w:rsidRDefault="00454C17" w:rsidP="00F429DD">
      <w:pPr>
        <w:rPr>
          <w:lang w:val="en-GB" w:eastAsia="zh-CN"/>
        </w:rPr>
      </w:pPr>
      <w:r>
        <w:rPr>
          <w:lang w:val="en-GB" w:eastAsia="zh-CN"/>
        </w:rPr>
        <w:t>A</w:t>
      </w:r>
      <w:r w:rsidR="008C538F">
        <w:rPr>
          <w:lang w:val="en-GB" w:eastAsia="zh-CN"/>
        </w:rPr>
        <w:t xml:space="preserve">lthough there could be </w:t>
      </w:r>
      <w:r w:rsidR="005E2F67">
        <w:rPr>
          <w:lang w:val="en-GB" w:eastAsia="zh-CN"/>
        </w:rPr>
        <w:t>a ~0.3dB better back-off associated to this</w:t>
      </w:r>
      <w:r>
        <w:rPr>
          <w:lang w:val="en-GB" w:eastAsia="zh-CN"/>
        </w:rPr>
        <w:t xml:space="preserve"> 1dB higher linearity</w:t>
      </w:r>
      <w:r w:rsidR="005E2F67">
        <w:rPr>
          <w:lang w:val="en-GB" w:eastAsia="zh-CN"/>
        </w:rPr>
        <w:t xml:space="preserve">, </w:t>
      </w:r>
      <w:r>
        <w:rPr>
          <w:lang w:val="en-GB" w:eastAsia="zh-CN"/>
        </w:rPr>
        <w:t xml:space="preserve">on the other </w:t>
      </w:r>
      <w:r w:rsidR="0081735A">
        <w:rPr>
          <w:lang w:val="en-GB" w:eastAsia="zh-CN"/>
        </w:rPr>
        <w:t>hand</w:t>
      </w:r>
      <w:r>
        <w:rPr>
          <w:lang w:val="en-GB" w:eastAsia="zh-CN"/>
        </w:rPr>
        <w:t xml:space="preserve">, 0.5dB higher is needed to account for RIMD in a 2Tx configuration, which almost compensates. Given the </w:t>
      </w:r>
      <w:r w:rsidR="0081735A">
        <w:rPr>
          <w:lang w:val="en-GB" w:eastAsia="zh-CN"/>
        </w:rPr>
        <w:t>minor</w:t>
      </w:r>
      <w:r>
        <w:rPr>
          <w:lang w:val="en-GB" w:eastAsia="zh-CN"/>
        </w:rPr>
        <w:t xml:space="preserve"> difference and to simplify the requirement, the PC3 NS_100 A-MPR is reused as is for PC2 and accounts for both 1TX and 2Tx implementations.</w:t>
      </w:r>
    </w:p>
    <w:p w14:paraId="08C569F8" w14:textId="64FD9A83" w:rsidR="00454C17" w:rsidRDefault="00454C17" w:rsidP="00454C17">
      <w:pPr>
        <w:pStyle w:val="Caption"/>
        <w:keepNext/>
        <w:jc w:val="center"/>
      </w:pPr>
      <w:r>
        <w:t xml:space="preserve">Table </w:t>
      </w:r>
      <w:fldSimple w:instr=" SEQ Table \* ARABIC ">
        <w:r w:rsidR="000160C3">
          <w:rPr>
            <w:noProof/>
          </w:rPr>
          <w:t>2</w:t>
        </w:r>
      </w:fldSimple>
      <w:r>
        <w:t xml:space="preserve">: </w:t>
      </w:r>
      <w:r w:rsidRPr="00A1115A">
        <w:t xml:space="preserve">A-MPR for NS_100 </w:t>
      </w:r>
      <w:r>
        <w:t>(DFT-s-OFDM/CP-OFDM)</w:t>
      </w:r>
    </w:p>
    <w:tbl>
      <w:tblPr>
        <w:tblW w:w="4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277"/>
      </w:tblGrid>
      <w:tr w:rsidR="000C0D27" w:rsidRPr="00A1115A" w14:paraId="32C5C3BF" w14:textId="5CD859CA" w:rsidTr="000C0D27">
        <w:trPr>
          <w:trHeight w:val="187"/>
          <w:jc w:val="center"/>
        </w:trPr>
        <w:tc>
          <w:tcPr>
            <w:tcW w:w="2277" w:type="dxa"/>
          </w:tcPr>
          <w:p w14:paraId="5131E455" w14:textId="1009DCD9" w:rsidR="000C0D27" w:rsidRPr="00A1115A" w:rsidRDefault="000C0D27" w:rsidP="004E3506">
            <w:pPr>
              <w:pStyle w:val="TAH"/>
            </w:pPr>
            <w:r w:rsidRPr="00A1115A">
              <w:t>Modulation/Waveform</w:t>
            </w:r>
          </w:p>
        </w:tc>
        <w:tc>
          <w:tcPr>
            <w:tcW w:w="2277" w:type="dxa"/>
            <w:shd w:val="clear" w:color="auto" w:fill="auto"/>
            <w:noWrap/>
            <w:hideMark/>
          </w:tcPr>
          <w:p w14:paraId="78AD7DF3" w14:textId="20734628" w:rsidR="000C0D27" w:rsidRPr="00A1115A" w:rsidRDefault="000C0D27" w:rsidP="004E3506">
            <w:pPr>
              <w:pStyle w:val="TAH"/>
            </w:pPr>
            <w:r w:rsidRPr="00A1115A">
              <w:t>Outer</w:t>
            </w:r>
          </w:p>
        </w:tc>
      </w:tr>
      <w:tr w:rsidR="000C0D27" w:rsidRPr="00A1115A" w14:paraId="742817E7" w14:textId="6AA115B3" w:rsidTr="000C0D27">
        <w:trPr>
          <w:trHeight w:val="187"/>
          <w:jc w:val="center"/>
        </w:trPr>
        <w:tc>
          <w:tcPr>
            <w:tcW w:w="2277" w:type="dxa"/>
          </w:tcPr>
          <w:p w14:paraId="74A1BF33" w14:textId="7E980A9A" w:rsidR="000C0D27" w:rsidRPr="00A1115A" w:rsidRDefault="000C0D27" w:rsidP="004E3506">
            <w:pPr>
              <w:pStyle w:val="TAC"/>
            </w:pPr>
            <w:r w:rsidRPr="00A1115A">
              <w:t>Pi/2 BPSK</w:t>
            </w:r>
          </w:p>
        </w:tc>
        <w:tc>
          <w:tcPr>
            <w:tcW w:w="2277" w:type="dxa"/>
            <w:shd w:val="clear" w:color="auto" w:fill="auto"/>
            <w:noWrap/>
            <w:hideMark/>
          </w:tcPr>
          <w:p w14:paraId="2D501450" w14:textId="17DBBA4E" w:rsidR="000C0D27" w:rsidRPr="00A1115A" w:rsidRDefault="000C0D27" w:rsidP="004E3506">
            <w:pPr>
              <w:pStyle w:val="TAC"/>
            </w:pPr>
            <w:r w:rsidRPr="00A1115A">
              <w:t>≤ 2</w:t>
            </w:r>
            <w:r>
              <w:t>/NA</w:t>
            </w:r>
          </w:p>
        </w:tc>
      </w:tr>
      <w:tr w:rsidR="000C0D27" w:rsidRPr="00A1115A" w14:paraId="63B06375" w14:textId="2F336BA1" w:rsidTr="000C0D27">
        <w:trPr>
          <w:trHeight w:val="187"/>
          <w:jc w:val="center"/>
        </w:trPr>
        <w:tc>
          <w:tcPr>
            <w:tcW w:w="2277" w:type="dxa"/>
          </w:tcPr>
          <w:p w14:paraId="7C2B65D6" w14:textId="29DBC43C" w:rsidR="000C0D27" w:rsidRPr="00A1115A" w:rsidRDefault="000C0D27" w:rsidP="004E3506">
            <w:pPr>
              <w:pStyle w:val="TAC"/>
            </w:pPr>
            <w:r w:rsidRPr="00A1115A">
              <w:t>QPSK</w:t>
            </w:r>
          </w:p>
        </w:tc>
        <w:tc>
          <w:tcPr>
            <w:tcW w:w="2277" w:type="dxa"/>
            <w:shd w:val="clear" w:color="auto" w:fill="auto"/>
            <w:noWrap/>
            <w:hideMark/>
          </w:tcPr>
          <w:p w14:paraId="6C7871BD" w14:textId="4FE0CC93" w:rsidR="000C0D27" w:rsidRPr="00A1115A" w:rsidRDefault="000C0D27" w:rsidP="004E3506">
            <w:pPr>
              <w:pStyle w:val="TAC"/>
            </w:pPr>
            <w:r w:rsidRPr="00A1115A">
              <w:t>≤ 2</w:t>
            </w:r>
            <w:r>
              <w:t>/4</w:t>
            </w:r>
          </w:p>
        </w:tc>
      </w:tr>
      <w:tr w:rsidR="000C0D27" w:rsidRPr="00A1115A" w14:paraId="5D793A80" w14:textId="4B36A8E6" w:rsidTr="000C0D27">
        <w:trPr>
          <w:trHeight w:val="187"/>
          <w:jc w:val="center"/>
        </w:trPr>
        <w:tc>
          <w:tcPr>
            <w:tcW w:w="2277" w:type="dxa"/>
          </w:tcPr>
          <w:p w14:paraId="0ACE314A" w14:textId="6F04093C" w:rsidR="000C0D27" w:rsidRPr="00A1115A" w:rsidRDefault="000C0D27" w:rsidP="004E3506">
            <w:pPr>
              <w:pStyle w:val="TAC"/>
            </w:pPr>
            <w:r w:rsidRPr="00A1115A">
              <w:t>16 QAM</w:t>
            </w:r>
          </w:p>
        </w:tc>
        <w:tc>
          <w:tcPr>
            <w:tcW w:w="2277" w:type="dxa"/>
            <w:shd w:val="clear" w:color="auto" w:fill="auto"/>
            <w:noWrap/>
            <w:hideMark/>
          </w:tcPr>
          <w:p w14:paraId="7F40368A" w14:textId="04C2D687" w:rsidR="000C0D27" w:rsidRPr="00A1115A" w:rsidRDefault="000C0D27" w:rsidP="004E3506">
            <w:pPr>
              <w:pStyle w:val="TAC"/>
            </w:pPr>
            <w:r w:rsidRPr="00A1115A">
              <w:t>≤ 2.5</w:t>
            </w:r>
            <w:r>
              <w:t>/4</w:t>
            </w:r>
          </w:p>
        </w:tc>
      </w:tr>
      <w:tr w:rsidR="000C0D27" w:rsidRPr="00A1115A" w14:paraId="5D96514A" w14:textId="42F935B5" w:rsidTr="000C0D27">
        <w:trPr>
          <w:trHeight w:val="187"/>
          <w:jc w:val="center"/>
        </w:trPr>
        <w:tc>
          <w:tcPr>
            <w:tcW w:w="2277" w:type="dxa"/>
          </w:tcPr>
          <w:p w14:paraId="405F0F80" w14:textId="08E34207" w:rsidR="000C0D27" w:rsidRPr="00A1115A" w:rsidRDefault="000C0D27" w:rsidP="004E3506">
            <w:pPr>
              <w:pStyle w:val="TAC"/>
            </w:pPr>
            <w:r w:rsidRPr="00A1115A">
              <w:t>64 QAM</w:t>
            </w:r>
          </w:p>
        </w:tc>
        <w:tc>
          <w:tcPr>
            <w:tcW w:w="2277" w:type="dxa"/>
            <w:shd w:val="clear" w:color="auto" w:fill="auto"/>
            <w:noWrap/>
            <w:hideMark/>
          </w:tcPr>
          <w:p w14:paraId="3D64C2EA" w14:textId="1A96A2A5" w:rsidR="000C0D27" w:rsidRPr="00A1115A" w:rsidRDefault="000C0D27" w:rsidP="004E3506">
            <w:pPr>
              <w:pStyle w:val="TAC"/>
            </w:pPr>
            <w:r w:rsidRPr="00A1115A">
              <w:t>≤ 3</w:t>
            </w:r>
            <w:r>
              <w:t>/4</w:t>
            </w:r>
          </w:p>
        </w:tc>
      </w:tr>
      <w:tr w:rsidR="000C0D27" w:rsidRPr="00A1115A" w14:paraId="28545F8D" w14:textId="02768166" w:rsidTr="000C0D27">
        <w:trPr>
          <w:trHeight w:val="187"/>
          <w:jc w:val="center"/>
        </w:trPr>
        <w:tc>
          <w:tcPr>
            <w:tcW w:w="2277" w:type="dxa"/>
          </w:tcPr>
          <w:p w14:paraId="1DD10ABE" w14:textId="1168CA82" w:rsidR="000C0D27" w:rsidRPr="00A1115A" w:rsidRDefault="000C0D27" w:rsidP="004E3506">
            <w:pPr>
              <w:pStyle w:val="TAC"/>
            </w:pPr>
            <w:r w:rsidRPr="00A1115A">
              <w:t>256 QAM</w:t>
            </w:r>
          </w:p>
        </w:tc>
        <w:tc>
          <w:tcPr>
            <w:tcW w:w="2277" w:type="dxa"/>
            <w:shd w:val="clear" w:color="auto" w:fill="auto"/>
            <w:noWrap/>
            <w:hideMark/>
          </w:tcPr>
          <w:p w14:paraId="16F3F6EB" w14:textId="6E9A91DE" w:rsidR="000C0D27" w:rsidRPr="00A1115A" w:rsidRDefault="000C0D27" w:rsidP="004E3506">
            <w:pPr>
              <w:pStyle w:val="TAC"/>
            </w:pPr>
            <w:r w:rsidRPr="00A1115A">
              <w:t>≤ 4.5</w:t>
            </w:r>
            <w:r>
              <w:t>/6.5</w:t>
            </w:r>
          </w:p>
        </w:tc>
      </w:tr>
    </w:tbl>
    <w:p w14:paraId="44EA3DE7" w14:textId="3BF3E7B0" w:rsidR="00454C17" w:rsidRDefault="00454C17" w:rsidP="00454C17">
      <w:pPr>
        <w:spacing w:after="0"/>
        <w:rPr>
          <w:lang w:val="en-GB" w:eastAsia="zh-CN"/>
        </w:rPr>
      </w:pPr>
    </w:p>
    <w:p w14:paraId="170C2C46" w14:textId="05708B71" w:rsidR="00542A07" w:rsidRDefault="00542A07" w:rsidP="00454C17">
      <w:pPr>
        <w:spacing w:after="0"/>
        <w:rPr>
          <w:lang w:val="en-GB" w:eastAsia="zh-CN"/>
        </w:rPr>
      </w:pPr>
      <w:r>
        <w:rPr>
          <w:lang w:val="en-GB" w:eastAsia="zh-CN"/>
        </w:rPr>
        <w:t xml:space="preserve">For NS03/03U, the emission requirement in the first MHz is 3dB </w:t>
      </w:r>
      <w:r w:rsidR="0022644A">
        <w:rPr>
          <w:lang w:val="en-GB" w:eastAsia="zh-CN"/>
        </w:rPr>
        <w:t>less</w:t>
      </w:r>
      <w:r>
        <w:rPr>
          <w:lang w:val="en-GB" w:eastAsia="zh-CN"/>
        </w:rPr>
        <w:t xml:space="preserve"> stringent than for NS_01</w:t>
      </w:r>
      <w:r w:rsidR="003C2061">
        <w:rPr>
          <w:lang w:val="en-GB" w:eastAsia="zh-CN"/>
        </w:rPr>
        <w:t xml:space="preserve"> as shown in Table </w:t>
      </w:r>
      <w:r w:rsidR="009C28E2">
        <w:rPr>
          <w:lang w:val="en-GB" w:eastAsia="zh-CN"/>
        </w:rPr>
        <w:t>3</w:t>
      </w:r>
      <w:r w:rsidR="0022644A">
        <w:rPr>
          <w:lang w:val="en-GB" w:eastAsia="zh-CN"/>
        </w:rPr>
        <w:t>, but the -13dBm/MHz region starts sooner than for NS01 at 1MHz instead of 5MHz. This may require some attention on edge allocations for PC2 compared to PC3.</w:t>
      </w:r>
    </w:p>
    <w:p w14:paraId="3B31E8DD" w14:textId="558D9489" w:rsidR="003C2061" w:rsidRDefault="003C2061" w:rsidP="003C2061">
      <w:pPr>
        <w:pStyle w:val="Caption"/>
        <w:keepNext/>
        <w:jc w:val="center"/>
      </w:pPr>
      <w:r>
        <w:t xml:space="preserve">Table </w:t>
      </w:r>
      <w:fldSimple w:instr=" SEQ Table \* ARABIC ">
        <w:r w:rsidR="000160C3">
          <w:rPr>
            <w:noProof/>
          </w:rPr>
          <w:t>3</w:t>
        </w:r>
      </w:fldSimple>
      <w:r>
        <w:t xml:space="preserve">: </w:t>
      </w:r>
      <w:r w:rsidRPr="00A1115A">
        <w:t>Additional requirements for NS_03</w:t>
      </w:r>
    </w:p>
    <w:tbl>
      <w:tblPr>
        <w:tblW w:w="8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8"/>
        <w:gridCol w:w="596"/>
        <w:gridCol w:w="3491"/>
        <w:gridCol w:w="1847"/>
      </w:tblGrid>
      <w:tr w:rsidR="00542A07" w:rsidRPr="00DB507E" w14:paraId="671A8775" w14:textId="77777777" w:rsidTr="00B7375C">
        <w:trPr>
          <w:cantSplit/>
          <w:trHeight w:val="70"/>
          <w:jc w:val="center"/>
        </w:trPr>
        <w:tc>
          <w:tcPr>
            <w:tcW w:w="2698" w:type="dxa"/>
            <w:tcBorders>
              <w:top w:val="single" w:sz="4" w:space="0" w:color="auto"/>
              <w:left w:val="single" w:sz="4" w:space="0" w:color="auto"/>
              <w:bottom w:val="nil"/>
              <w:right w:val="single" w:sz="4" w:space="0" w:color="auto"/>
            </w:tcBorders>
            <w:shd w:val="clear" w:color="auto" w:fill="auto"/>
            <w:vAlign w:val="center"/>
          </w:tcPr>
          <w:p w14:paraId="742CB96C" w14:textId="77777777" w:rsidR="00542A07" w:rsidRPr="00DB507E" w:rsidRDefault="00542A07" w:rsidP="007B247F">
            <w:pPr>
              <w:keepNext/>
              <w:keepLines/>
              <w:spacing w:after="0"/>
              <w:jc w:val="center"/>
              <w:rPr>
                <w:rFonts w:ascii="Arial" w:hAnsi="Arial" w:cs="Arial"/>
                <w:b/>
                <w:sz w:val="18"/>
                <w:szCs w:val="18"/>
              </w:rPr>
            </w:pPr>
            <w:proofErr w:type="spellStart"/>
            <w:r w:rsidRPr="00DB507E">
              <w:rPr>
                <w:rFonts w:ascii="Arial" w:hAnsi="Arial" w:cs="Arial"/>
                <w:b/>
                <w:sz w:val="18"/>
                <w:szCs w:val="18"/>
              </w:rPr>
              <w:t>Δf</w:t>
            </w:r>
            <w:r w:rsidRPr="00DB507E">
              <w:rPr>
                <w:rFonts w:ascii="Arial" w:hAnsi="Arial" w:cs="Arial"/>
                <w:b/>
                <w:sz w:val="18"/>
                <w:szCs w:val="18"/>
                <w:vertAlign w:val="subscript"/>
              </w:rPr>
              <w:t>OOB</w:t>
            </w:r>
            <w:proofErr w:type="spellEnd"/>
            <w:r w:rsidRPr="00DB507E">
              <w:rPr>
                <w:rFonts w:ascii="Arial" w:hAnsi="Arial" w:cs="Arial"/>
                <w:b/>
                <w:sz w:val="18"/>
                <w:szCs w:val="18"/>
              </w:rPr>
              <w:t xml:space="preserve"> </w:t>
            </w:r>
          </w:p>
        </w:tc>
        <w:tc>
          <w:tcPr>
            <w:tcW w:w="4087" w:type="dxa"/>
            <w:gridSpan w:val="2"/>
            <w:tcBorders>
              <w:top w:val="single" w:sz="4" w:space="0" w:color="auto"/>
              <w:left w:val="single" w:sz="4" w:space="0" w:color="auto"/>
              <w:bottom w:val="single" w:sz="4" w:space="0" w:color="auto"/>
              <w:right w:val="single" w:sz="4" w:space="0" w:color="auto"/>
            </w:tcBorders>
            <w:vAlign w:val="center"/>
          </w:tcPr>
          <w:p w14:paraId="72D25BD1" w14:textId="5943EE60" w:rsidR="00542A07" w:rsidRPr="00DB507E" w:rsidRDefault="00B7375C" w:rsidP="007B247F">
            <w:pPr>
              <w:keepNext/>
              <w:keepLines/>
              <w:spacing w:after="0"/>
              <w:jc w:val="center"/>
              <w:rPr>
                <w:rFonts w:ascii="Arial" w:hAnsi="Arial" w:cs="Arial"/>
                <w:b/>
                <w:sz w:val="18"/>
                <w:szCs w:val="18"/>
              </w:rPr>
            </w:pPr>
            <w:r>
              <w:rPr>
                <w:rFonts w:ascii="Arial" w:hAnsi="Arial" w:cs="Arial"/>
                <w:b/>
                <w:sz w:val="18"/>
                <w:szCs w:val="18"/>
              </w:rPr>
              <w:t>CBW</w:t>
            </w:r>
            <w:r w:rsidR="00542A07" w:rsidRPr="00DB507E">
              <w:rPr>
                <w:rFonts w:ascii="Arial" w:hAnsi="Arial" w:cs="Arial"/>
                <w:b/>
                <w:sz w:val="18"/>
                <w:szCs w:val="18"/>
              </w:rPr>
              <w:t xml:space="preserve"> (MHz) / Spectrum emission limit (dBm)</w:t>
            </w:r>
          </w:p>
        </w:tc>
        <w:tc>
          <w:tcPr>
            <w:tcW w:w="1847" w:type="dxa"/>
            <w:tcBorders>
              <w:top w:val="single" w:sz="4" w:space="0" w:color="auto"/>
              <w:left w:val="single" w:sz="4" w:space="0" w:color="auto"/>
              <w:bottom w:val="nil"/>
              <w:right w:val="single" w:sz="4" w:space="0" w:color="auto"/>
            </w:tcBorders>
            <w:shd w:val="clear" w:color="auto" w:fill="auto"/>
            <w:vAlign w:val="center"/>
          </w:tcPr>
          <w:p w14:paraId="0B195D3C" w14:textId="77777777" w:rsidR="00542A07" w:rsidRPr="00DB507E" w:rsidRDefault="00542A07" w:rsidP="007B247F">
            <w:pPr>
              <w:keepNext/>
              <w:keepLines/>
              <w:spacing w:after="0"/>
              <w:jc w:val="center"/>
              <w:rPr>
                <w:rFonts w:ascii="Arial" w:hAnsi="Arial" w:cs="Arial"/>
                <w:b/>
                <w:sz w:val="18"/>
                <w:szCs w:val="18"/>
              </w:rPr>
            </w:pPr>
            <w:r w:rsidRPr="00DB507E">
              <w:rPr>
                <w:rFonts w:ascii="Arial" w:hAnsi="Arial" w:cs="Arial"/>
                <w:b/>
                <w:sz w:val="18"/>
                <w:szCs w:val="18"/>
              </w:rPr>
              <w:t xml:space="preserve">Measurement </w:t>
            </w:r>
          </w:p>
        </w:tc>
      </w:tr>
      <w:tr w:rsidR="00542A07" w:rsidRPr="00DB507E" w14:paraId="58D2F93B" w14:textId="77777777" w:rsidTr="00B7375C">
        <w:trPr>
          <w:cantSplit/>
          <w:jc w:val="center"/>
        </w:trPr>
        <w:tc>
          <w:tcPr>
            <w:tcW w:w="2698" w:type="dxa"/>
            <w:tcBorders>
              <w:top w:val="nil"/>
              <w:left w:val="single" w:sz="4" w:space="0" w:color="auto"/>
              <w:bottom w:val="single" w:sz="4" w:space="0" w:color="auto"/>
              <w:right w:val="single" w:sz="4" w:space="0" w:color="auto"/>
            </w:tcBorders>
            <w:shd w:val="clear" w:color="auto" w:fill="auto"/>
            <w:vAlign w:val="center"/>
          </w:tcPr>
          <w:p w14:paraId="7FCB8A56" w14:textId="77777777" w:rsidR="00542A07" w:rsidRPr="00DB507E" w:rsidRDefault="00542A07" w:rsidP="007B247F">
            <w:pPr>
              <w:keepNext/>
              <w:keepLines/>
              <w:spacing w:after="0"/>
              <w:jc w:val="center"/>
              <w:rPr>
                <w:rFonts w:ascii="Arial" w:hAnsi="Arial" w:cs="Arial"/>
                <w:b/>
                <w:sz w:val="18"/>
                <w:szCs w:val="18"/>
              </w:rPr>
            </w:pPr>
            <w:r w:rsidRPr="00DB507E">
              <w:rPr>
                <w:rFonts w:ascii="Arial" w:hAnsi="Arial" w:cs="Arial"/>
                <w:b/>
                <w:sz w:val="18"/>
                <w:szCs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3E870898" w14:textId="77777777" w:rsidR="00542A07" w:rsidRPr="00DB507E" w:rsidRDefault="00542A07" w:rsidP="007B247F">
            <w:pPr>
              <w:keepNext/>
              <w:keepLines/>
              <w:spacing w:after="0"/>
              <w:jc w:val="center"/>
              <w:rPr>
                <w:rFonts w:ascii="Arial" w:hAnsi="Arial" w:cs="Arial"/>
                <w:b/>
                <w:sz w:val="18"/>
                <w:szCs w:val="18"/>
                <w:lang w:eastAsia="zh-CN"/>
              </w:rPr>
            </w:pPr>
            <w:r w:rsidRPr="00DB507E">
              <w:rPr>
                <w:rFonts w:ascii="Arial" w:hAnsi="Arial" w:cs="Arial" w:hint="eastAsia"/>
                <w:b/>
                <w:sz w:val="18"/>
                <w:szCs w:val="18"/>
                <w:lang w:eastAsia="zh-CN"/>
              </w:rPr>
              <w:t>5</w:t>
            </w:r>
          </w:p>
        </w:tc>
        <w:tc>
          <w:tcPr>
            <w:tcW w:w="3491" w:type="dxa"/>
            <w:tcBorders>
              <w:top w:val="single" w:sz="4" w:space="0" w:color="auto"/>
              <w:left w:val="single" w:sz="4" w:space="0" w:color="auto"/>
              <w:bottom w:val="single" w:sz="4" w:space="0" w:color="auto"/>
              <w:right w:val="single" w:sz="4" w:space="0" w:color="auto"/>
            </w:tcBorders>
            <w:vAlign w:val="center"/>
          </w:tcPr>
          <w:p w14:paraId="5D6172BA" w14:textId="77777777" w:rsidR="00542A07" w:rsidRPr="00DB507E" w:rsidRDefault="00542A07" w:rsidP="007B247F">
            <w:pPr>
              <w:keepNext/>
              <w:keepLines/>
              <w:spacing w:after="0"/>
              <w:jc w:val="center"/>
              <w:rPr>
                <w:rFonts w:ascii="Arial" w:hAnsi="Arial" w:cs="Arial"/>
                <w:b/>
                <w:sz w:val="18"/>
                <w:szCs w:val="18"/>
                <w:lang w:eastAsia="zh-CN"/>
              </w:rPr>
            </w:pPr>
            <w:r w:rsidRPr="00DB507E">
              <w:rPr>
                <w:rFonts w:ascii="Arial" w:hAnsi="Arial" w:cs="Arial"/>
                <w:b/>
                <w:sz w:val="18"/>
                <w:szCs w:val="18"/>
              </w:rPr>
              <w:t>10, 15, 20, 25, 30, 35, 40, 45</w:t>
            </w:r>
          </w:p>
        </w:tc>
        <w:tc>
          <w:tcPr>
            <w:tcW w:w="1847" w:type="dxa"/>
            <w:tcBorders>
              <w:top w:val="nil"/>
              <w:left w:val="single" w:sz="4" w:space="0" w:color="auto"/>
              <w:bottom w:val="single" w:sz="4" w:space="0" w:color="auto"/>
              <w:right w:val="single" w:sz="4" w:space="0" w:color="auto"/>
            </w:tcBorders>
            <w:shd w:val="clear" w:color="auto" w:fill="auto"/>
            <w:vAlign w:val="center"/>
          </w:tcPr>
          <w:p w14:paraId="7E7B3CA8" w14:textId="77777777" w:rsidR="00542A07" w:rsidRPr="00DB507E" w:rsidRDefault="00542A07" w:rsidP="007B247F">
            <w:pPr>
              <w:keepNext/>
              <w:keepLines/>
              <w:spacing w:after="0"/>
              <w:jc w:val="center"/>
              <w:rPr>
                <w:rFonts w:ascii="Arial" w:hAnsi="Arial" w:cs="Arial"/>
                <w:b/>
                <w:sz w:val="18"/>
                <w:szCs w:val="18"/>
              </w:rPr>
            </w:pPr>
            <w:r w:rsidRPr="00DB507E">
              <w:rPr>
                <w:rFonts w:ascii="Arial" w:hAnsi="Arial" w:cs="Arial"/>
                <w:b/>
                <w:sz w:val="18"/>
                <w:szCs w:val="18"/>
              </w:rPr>
              <w:t>bandwidth</w:t>
            </w:r>
          </w:p>
        </w:tc>
      </w:tr>
      <w:tr w:rsidR="00542A07" w:rsidRPr="00DB507E" w14:paraId="312078CB" w14:textId="77777777" w:rsidTr="00B7375C">
        <w:trPr>
          <w:trHeight w:val="70"/>
          <w:jc w:val="center"/>
        </w:trPr>
        <w:tc>
          <w:tcPr>
            <w:tcW w:w="2698" w:type="dxa"/>
            <w:tcBorders>
              <w:top w:val="single" w:sz="4" w:space="0" w:color="auto"/>
              <w:left w:val="single" w:sz="4" w:space="0" w:color="auto"/>
              <w:bottom w:val="single" w:sz="4" w:space="0" w:color="auto"/>
              <w:right w:val="single" w:sz="4" w:space="0" w:color="auto"/>
            </w:tcBorders>
            <w:vAlign w:val="center"/>
          </w:tcPr>
          <w:p w14:paraId="30B0448B" w14:textId="77777777" w:rsidR="00542A07" w:rsidRPr="00DB507E" w:rsidRDefault="00542A07" w:rsidP="007B247F">
            <w:pPr>
              <w:pStyle w:val="TAC"/>
              <w:rPr>
                <w:szCs w:val="18"/>
              </w:rPr>
            </w:pPr>
            <w:r w:rsidRPr="00DB507E">
              <w:rPr>
                <w:szCs w:val="18"/>
              </w:rPr>
              <w:sym w:font="Symbol" w:char="F0B1"/>
            </w:r>
            <w:r w:rsidRPr="00DB507E">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754268DA" w14:textId="77777777" w:rsidR="00542A07" w:rsidRPr="00DB507E" w:rsidRDefault="00542A07" w:rsidP="007B247F">
            <w:pPr>
              <w:pStyle w:val="TAC"/>
              <w:rPr>
                <w:b/>
                <w:szCs w:val="18"/>
              </w:rPr>
            </w:pPr>
            <w:r w:rsidRPr="00DB507E">
              <w:rPr>
                <w:szCs w:val="18"/>
              </w:rPr>
              <w:t>-13</w:t>
            </w:r>
          </w:p>
        </w:tc>
        <w:tc>
          <w:tcPr>
            <w:tcW w:w="3491" w:type="dxa"/>
            <w:tcBorders>
              <w:top w:val="single" w:sz="4" w:space="0" w:color="auto"/>
              <w:left w:val="single" w:sz="4" w:space="0" w:color="auto"/>
              <w:bottom w:val="single" w:sz="4" w:space="0" w:color="auto"/>
              <w:right w:val="single" w:sz="4" w:space="0" w:color="auto"/>
            </w:tcBorders>
            <w:vAlign w:val="center"/>
          </w:tcPr>
          <w:p w14:paraId="0FBD63AA" w14:textId="291ED1DF" w:rsidR="00542A07" w:rsidRPr="00DB507E" w:rsidRDefault="00542A07" w:rsidP="007B247F">
            <w:pPr>
              <w:pStyle w:val="TAC"/>
              <w:rPr>
                <w:b/>
                <w:szCs w:val="18"/>
              </w:rPr>
            </w:pPr>
            <w:r w:rsidRPr="00DB507E">
              <w:rPr>
                <w:szCs w:val="18"/>
              </w:rPr>
              <w:t>-13</w:t>
            </w:r>
          </w:p>
        </w:tc>
        <w:tc>
          <w:tcPr>
            <w:tcW w:w="1847" w:type="dxa"/>
            <w:tcBorders>
              <w:top w:val="single" w:sz="4" w:space="0" w:color="auto"/>
              <w:left w:val="single" w:sz="4" w:space="0" w:color="auto"/>
              <w:bottom w:val="single" w:sz="4" w:space="0" w:color="auto"/>
              <w:right w:val="single" w:sz="4" w:space="0" w:color="auto"/>
            </w:tcBorders>
            <w:vAlign w:val="center"/>
          </w:tcPr>
          <w:p w14:paraId="6FA53CF5" w14:textId="77777777" w:rsidR="00542A07" w:rsidRPr="00DB507E" w:rsidRDefault="00542A07" w:rsidP="007B247F">
            <w:pPr>
              <w:pStyle w:val="TAC"/>
              <w:rPr>
                <w:b/>
                <w:szCs w:val="18"/>
              </w:rPr>
            </w:pPr>
            <w:r w:rsidRPr="00DB507E">
              <w:rPr>
                <w:szCs w:val="18"/>
              </w:rPr>
              <w:t>1 % of channel BW</w:t>
            </w:r>
          </w:p>
        </w:tc>
      </w:tr>
      <w:tr w:rsidR="00542A07" w:rsidRPr="00DB507E" w14:paraId="0C52E4F3" w14:textId="77777777" w:rsidTr="00B7375C">
        <w:trPr>
          <w:trHeight w:val="70"/>
          <w:jc w:val="center"/>
        </w:trPr>
        <w:tc>
          <w:tcPr>
            <w:tcW w:w="2698" w:type="dxa"/>
            <w:tcBorders>
              <w:top w:val="single" w:sz="4" w:space="0" w:color="auto"/>
              <w:left w:val="single" w:sz="4" w:space="0" w:color="auto"/>
              <w:bottom w:val="single" w:sz="4" w:space="0" w:color="auto"/>
              <w:right w:val="single" w:sz="4" w:space="0" w:color="auto"/>
            </w:tcBorders>
            <w:vAlign w:val="center"/>
          </w:tcPr>
          <w:p w14:paraId="45C6CBE7" w14:textId="77777777" w:rsidR="00542A07" w:rsidRPr="00DB507E" w:rsidRDefault="00542A07" w:rsidP="007B247F">
            <w:pPr>
              <w:pStyle w:val="TAC"/>
              <w:rPr>
                <w:szCs w:val="18"/>
              </w:rPr>
            </w:pPr>
            <w:r w:rsidRPr="00DB507E">
              <w:rPr>
                <w:szCs w:val="18"/>
              </w:rPr>
              <w:sym w:font="Symbol" w:char="F0B1"/>
            </w:r>
            <w:r w:rsidRPr="00DB507E">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768933AF" w14:textId="77777777" w:rsidR="00542A07" w:rsidRPr="00DB507E" w:rsidRDefault="00542A07" w:rsidP="007B247F">
            <w:pPr>
              <w:pStyle w:val="TAC"/>
              <w:rPr>
                <w:szCs w:val="18"/>
              </w:rPr>
            </w:pPr>
            <w:r w:rsidRPr="00DB507E">
              <w:rPr>
                <w:szCs w:val="18"/>
              </w:rPr>
              <w:t>-13</w:t>
            </w:r>
          </w:p>
        </w:tc>
        <w:tc>
          <w:tcPr>
            <w:tcW w:w="3491" w:type="dxa"/>
            <w:tcBorders>
              <w:top w:val="single" w:sz="4" w:space="0" w:color="auto"/>
              <w:left w:val="single" w:sz="4" w:space="0" w:color="auto"/>
              <w:bottom w:val="single" w:sz="4" w:space="0" w:color="auto"/>
              <w:right w:val="single" w:sz="4" w:space="0" w:color="auto"/>
            </w:tcBorders>
            <w:vAlign w:val="center"/>
          </w:tcPr>
          <w:p w14:paraId="0890A774" w14:textId="77777777" w:rsidR="00542A07" w:rsidRPr="00DB507E" w:rsidRDefault="00542A07" w:rsidP="007B247F">
            <w:pPr>
              <w:pStyle w:val="TAC"/>
              <w:rPr>
                <w:szCs w:val="18"/>
              </w:rPr>
            </w:pPr>
          </w:p>
        </w:tc>
        <w:tc>
          <w:tcPr>
            <w:tcW w:w="1847" w:type="dxa"/>
            <w:vMerge w:val="restart"/>
            <w:tcBorders>
              <w:top w:val="single" w:sz="4" w:space="0" w:color="auto"/>
              <w:left w:val="single" w:sz="4" w:space="0" w:color="auto"/>
              <w:right w:val="single" w:sz="4" w:space="0" w:color="auto"/>
            </w:tcBorders>
            <w:vAlign w:val="center"/>
          </w:tcPr>
          <w:p w14:paraId="3074CFC1" w14:textId="77777777" w:rsidR="00542A07" w:rsidRPr="00DB507E" w:rsidRDefault="00542A07" w:rsidP="007B247F">
            <w:pPr>
              <w:pStyle w:val="TAC"/>
              <w:rPr>
                <w:szCs w:val="18"/>
              </w:rPr>
            </w:pPr>
            <w:r w:rsidRPr="00DB507E">
              <w:rPr>
                <w:szCs w:val="18"/>
              </w:rPr>
              <w:t>1 MHz</w:t>
            </w:r>
          </w:p>
        </w:tc>
      </w:tr>
      <w:tr w:rsidR="00542A07" w:rsidRPr="00DB507E" w14:paraId="5C2FD6E0" w14:textId="77777777" w:rsidTr="00B7375C">
        <w:trPr>
          <w:trHeight w:val="207"/>
          <w:jc w:val="center"/>
        </w:trPr>
        <w:tc>
          <w:tcPr>
            <w:tcW w:w="2698" w:type="dxa"/>
            <w:tcBorders>
              <w:top w:val="single" w:sz="4" w:space="0" w:color="auto"/>
              <w:left w:val="single" w:sz="4" w:space="0" w:color="auto"/>
              <w:bottom w:val="single" w:sz="4" w:space="0" w:color="auto"/>
              <w:right w:val="single" w:sz="4" w:space="0" w:color="auto"/>
            </w:tcBorders>
            <w:vAlign w:val="center"/>
          </w:tcPr>
          <w:p w14:paraId="6325FCD7" w14:textId="77777777" w:rsidR="00542A07" w:rsidRPr="00DB507E" w:rsidRDefault="00542A07" w:rsidP="007B247F">
            <w:pPr>
              <w:pStyle w:val="TAC"/>
              <w:rPr>
                <w:szCs w:val="18"/>
              </w:rPr>
            </w:pPr>
            <w:r w:rsidRPr="00DB507E">
              <w:rPr>
                <w:szCs w:val="18"/>
              </w:rPr>
              <w:sym w:font="Symbol" w:char="F0B1"/>
            </w:r>
            <w:r w:rsidRPr="00DB507E">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4361B7A5" w14:textId="77777777" w:rsidR="00542A07" w:rsidRPr="00DB507E" w:rsidRDefault="00542A07" w:rsidP="007B247F">
            <w:pPr>
              <w:pStyle w:val="TAC"/>
              <w:rPr>
                <w:szCs w:val="18"/>
              </w:rPr>
            </w:pPr>
            <w:r w:rsidRPr="00DB507E">
              <w:rPr>
                <w:szCs w:val="18"/>
              </w:rPr>
              <w:t>-25</w:t>
            </w:r>
          </w:p>
        </w:tc>
        <w:tc>
          <w:tcPr>
            <w:tcW w:w="3491" w:type="dxa"/>
            <w:tcBorders>
              <w:top w:val="single" w:sz="4" w:space="0" w:color="auto"/>
              <w:left w:val="single" w:sz="4" w:space="0" w:color="auto"/>
              <w:bottom w:val="single" w:sz="4" w:space="0" w:color="auto"/>
              <w:right w:val="single" w:sz="4" w:space="0" w:color="auto"/>
            </w:tcBorders>
            <w:vAlign w:val="center"/>
          </w:tcPr>
          <w:p w14:paraId="16CF123B" w14:textId="77777777" w:rsidR="00542A07" w:rsidRPr="00DB507E" w:rsidRDefault="00542A07" w:rsidP="007B247F">
            <w:pPr>
              <w:pStyle w:val="TAC"/>
              <w:rPr>
                <w:szCs w:val="18"/>
              </w:rPr>
            </w:pPr>
          </w:p>
        </w:tc>
        <w:tc>
          <w:tcPr>
            <w:tcW w:w="1847" w:type="dxa"/>
            <w:vMerge/>
            <w:tcBorders>
              <w:left w:val="single" w:sz="4" w:space="0" w:color="auto"/>
              <w:right w:val="single" w:sz="4" w:space="0" w:color="auto"/>
            </w:tcBorders>
            <w:vAlign w:val="center"/>
          </w:tcPr>
          <w:p w14:paraId="20FB1A62" w14:textId="77777777" w:rsidR="00542A07" w:rsidRPr="00DB507E" w:rsidRDefault="00542A07" w:rsidP="007B247F">
            <w:pPr>
              <w:pStyle w:val="TAC"/>
              <w:rPr>
                <w:szCs w:val="18"/>
              </w:rPr>
            </w:pPr>
          </w:p>
        </w:tc>
      </w:tr>
      <w:tr w:rsidR="00542A07" w:rsidRPr="00DB507E" w14:paraId="074D2E47" w14:textId="77777777" w:rsidTr="00B7375C">
        <w:trPr>
          <w:jc w:val="center"/>
        </w:trPr>
        <w:tc>
          <w:tcPr>
            <w:tcW w:w="2698" w:type="dxa"/>
            <w:tcBorders>
              <w:top w:val="single" w:sz="4" w:space="0" w:color="auto"/>
              <w:left w:val="single" w:sz="4" w:space="0" w:color="auto"/>
              <w:bottom w:val="single" w:sz="4" w:space="0" w:color="auto"/>
              <w:right w:val="single" w:sz="4" w:space="0" w:color="auto"/>
            </w:tcBorders>
            <w:vAlign w:val="center"/>
          </w:tcPr>
          <w:p w14:paraId="32532ED6" w14:textId="77777777" w:rsidR="00542A07" w:rsidRPr="00DB507E" w:rsidRDefault="00542A07" w:rsidP="007B247F">
            <w:pPr>
              <w:pStyle w:val="TAC"/>
              <w:rPr>
                <w:szCs w:val="18"/>
              </w:rPr>
            </w:pPr>
            <w:r w:rsidRPr="00DB507E">
              <w:rPr>
                <w:szCs w:val="18"/>
              </w:rPr>
              <w:sym w:font="Symbol" w:char="F0B1"/>
            </w:r>
            <w:r w:rsidRPr="00DB507E">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3C388AF4" w14:textId="77777777" w:rsidR="00542A07" w:rsidRPr="00DB507E" w:rsidRDefault="00542A07" w:rsidP="007B247F">
            <w:pPr>
              <w:pStyle w:val="TAC"/>
              <w:rPr>
                <w:szCs w:val="18"/>
              </w:rPr>
            </w:pPr>
          </w:p>
        </w:tc>
        <w:tc>
          <w:tcPr>
            <w:tcW w:w="3491" w:type="dxa"/>
            <w:tcBorders>
              <w:top w:val="single" w:sz="4" w:space="0" w:color="auto"/>
              <w:left w:val="single" w:sz="4" w:space="0" w:color="auto"/>
              <w:bottom w:val="single" w:sz="4" w:space="0" w:color="auto"/>
              <w:right w:val="single" w:sz="4" w:space="0" w:color="auto"/>
            </w:tcBorders>
            <w:vAlign w:val="center"/>
          </w:tcPr>
          <w:p w14:paraId="603789DB" w14:textId="77777777" w:rsidR="00542A07" w:rsidRPr="00DB507E" w:rsidRDefault="00542A07" w:rsidP="007B247F">
            <w:pPr>
              <w:pStyle w:val="TAC"/>
              <w:rPr>
                <w:szCs w:val="18"/>
              </w:rPr>
            </w:pPr>
            <w:r w:rsidRPr="00DB507E">
              <w:rPr>
                <w:szCs w:val="18"/>
              </w:rPr>
              <w:t>-13</w:t>
            </w:r>
          </w:p>
        </w:tc>
        <w:tc>
          <w:tcPr>
            <w:tcW w:w="1847" w:type="dxa"/>
            <w:vMerge/>
            <w:tcBorders>
              <w:left w:val="single" w:sz="4" w:space="0" w:color="auto"/>
              <w:right w:val="single" w:sz="4" w:space="0" w:color="auto"/>
            </w:tcBorders>
            <w:vAlign w:val="center"/>
          </w:tcPr>
          <w:p w14:paraId="4DB080E2" w14:textId="77777777" w:rsidR="00542A07" w:rsidRPr="00DB507E" w:rsidRDefault="00542A07" w:rsidP="007B247F">
            <w:pPr>
              <w:pStyle w:val="TAC"/>
              <w:rPr>
                <w:szCs w:val="18"/>
              </w:rPr>
            </w:pPr>
          </w:p>
        </w:tc>
      </w:tr>
      <w:tr w:rsidR="00542A07" w:rsidRPr="00DB507E" w14:paraId="1036E410" w14:textId="77777777" w:rsidTr="00B7375C">
        <w:trPr>
          <w:jc w:val="center"/>
        </w:trPr>
        <w:tc>
          <w:tcPr>
            <w:tcW w:w="2698" w:type="dxa"/>
            <w:tcBorders>
              <w:top w:val="single" w:sz="4" w:space="0" w:color="auto"/>
              <w:left w:val="single" w:sz="4" w:space="0" w:color="auto"/>
              <w:bottom w:val="single" w:sz="4" w:space="0" w:color="auto"/>
              <w:right w:val="single" w:sz="4" w:space="0" w:color="auto"/>
            </w:tcBorders>
            <w:vAlign w:val="center"/>
          </w:tcPr>
          <w:p w14:paraId="36F51AE8" w14:textId="77777777" w:rsidR="00542A07" w:rsidRPr="00DB507E" w:rsidRDefault="00542A07" w:rsidP="007B247F">
            <w:pPr>
              <w:pStyle w:val="TAC"/>
              <w:rPr>
                <w:szCs w:val="18"/>
              </w:rPr>
            </w:pPr>
            <w:r w:rsidRPr="00DB507E">
              <w:rPr>
                <w:szCs w:val="18"/>
              </w:rPr>
              <w:sym w:font="Symbol" w:char="F0B1"/>
            </w:r>
            <w:r w:rsidRPr="00DB507E">
              <w:rPr>
                <w:szCs w:val="18"/>
              </w:rPr>
              <w:t xml:space="preserve"> </w:t>
            </w:r>
            <w:proofErr w:type="spellStart"/>
            <w:r w:rsidRPr="00DB507E">
              <w:rPr>
                <w:szCs w:val="18"/>
              </w:rPr>
              <w:t>BWChannel</w:t>
            </w:r>
            <w:proofErr w:type="spellEnd"/>
            <w:r w:rsidRPr="00DB507E">
              <w:rPr>
                <w:szCs w:val="18"/>
              </w:rPr>
              <w:t>-(BWChannel+5)</w:t>
            </w:r>
          </w:p>
        </w:tc>
        <w:tc>
          <w:tcPr>
            <w:tcW w:w="596" w:type="dxa"/>
            <w:tcBorders>
              <w:top w:val="single" w:sz="4" w:space="0" w:color="auto"/>
              <w:left w:val="single" w:sz="4" w:space="0" w:color="auto"/>
              <w:bottom w:val="single" w:sz="4" w:space="0" w:color="auto"/>
              <w:right w:val="single" w:sz="4" w:space="0" w:color="auto"/>
            </w:tcBorders>
            <w:vAlign w:val="center"/>
          </w:tcPr>
          <w:p w14:paraId="74160A33" w14:textId="77777777" w:rsidR="00542A07" w:rsidRPr="00DB507E" w:rsidRDefault="00542A07" w:rsidP="007B247F">
            <w:pPr>
              <w:pStyle w:val="TAC"/>
              <w:rPr>
                <w:szCs w:val="18"/>
              </w:rPr>
            </w:pPr>
          </w:p>
        </w:tc>
        <w:tc>
          <w:tcPr>
            <w:tcW w:w="3491" w:type="dxa"/>
            <w:tcBorders>
              <w:top w:val="single" w:sz="4" w:space="0" w:color="auto"/>
              <w:left w:val="single" w:sz="4" w:space="0" w:color="auto"/>
              <w:bottom w:val="single" w:sz="4" w:space="0" w:color="auto"/>
              <w:right w:val="single" w:sz="4" w:space="0" w:color="auto"/>
            </w:tcBorders>
            <w:vAlign w:val="center"/>
          </w:tcPr>
          <w:p w14:paraId="0C923127" w14:textId="77777777" w:rsidR="00542A07" w:rsidRPr="00DB507E" w:rsidRDefault="00542A07" w:rsidP="007B247F">
            <w:pPr>
              <w:pStyle w:val="TAC"/>
              <w:rPr>
                <w:szCs w:val="18"/>
              </w:rPr>
            </w:pPr>
            <w:r w:rsidRPr="00DB507E">
              <w:rPr>
                <w:szCs w:val="18"/>
              </w:rPr>
              <w:t>-25</w:t>
            </w:r>
          </w:p>
        </w:tc>
        <w:tc>
          <w:tcPr>
            <w:tcW w:w="1847" w:type="dxa"/>
            <w:vMerge/>
            <w:tcBorders>
              <w:left w:val="single" w:sz="4" w:space="0" w:color="auto"/>
              <w:bottom w:val="single" w:sz="4" w:space="0" w:color="auto"/>
              <w:right w:val="single" w:sz="4" w:space="0" w:color="auto"/>
            </w:tcBorders>
            <w:vAlign w:val="center"/>
          </w:tcPr>
          <w:p w14:paraId="5F746AED" w14:textId="77777777" w:rsidR="00542A07" w:rsidRPr="00DB507E" w:rsidRDefault="00542A07" w:rsidP="007B247F">
            <w:pPr>
              <w:pStyle w:val="TAC"/>
              <w:rPr>
                <w:szCs w:val="18"/>
              </w:rPr>
            </w:pPr>
          </w:p>
        </w:tc>
      </w:tr>
    </w:tbl>
    <w:p w14:paraId="4C7EB530" w14:textId="77777777" w:rsidR="00542A07" w:rsidRDefault="00542A07" w:rsidP="00454C17">
      <w:pPr>
        <w:spacing w:after="0"/>
        <w:rPr>
          <w:lang w:val="en-GB" w:eastAsia="zh-CN"/>
        </w:rPr>
      </w:pPr>
    </w:p>
    <w:p w14:paraId="193E0095" w14:textId="7E11D65E" w:rsidR="00454C17" w:rsidRPr="00454C17" w:rsidRDefault="00454C17" w:rsidP="00454C17">
      <w:pPr>
        <w:spacing w:after="0"/>
        <w:rPr>
          <w:b/>
          <w:bCs/>
          <w:lang w:val="en-GB" w:eastAsia="zh-CN"/>
        </w:rPr>
      </w:pPr>
      <w:r w:rsidRPr="00454C17">
        <w:rPr>
          <w:b/>
          <w:bCs/>
          <w:lang w:val="en-GB" w:eastAsia="zh-CN"/>
        </w:rPr>
        <w:t>Proposal</w:t>
      </w:r>
      <w:r w:rsidR="009C28E2">
        <w:rPr>
          <w:b/>
          <w:bCs/>
          <w:lang w:val="en-GB" w:eastAsia="zh-CN"/>
        </w:rPr>
        <w:t xml:space="preserve"> on applicable NS</w:t>
      </w:r>
      <w:r w:rsidRPr="00454C17">
        <w:rPr>
          <w:b/>
          <w:bCs/>
          <w:lang w:val="en-GB" w:eastAsia="zh-CN"/>
        </w:rPr>
        <w:t>:</w:t>
      </w:r>
    </w:p>
    <w:p w14:paraId="7402FC64" w14:textId="4CB88A00" w:rsidR="00454C17" w:rsidRPr="00454C17" w:rsidRDefault="00454C17" w:rsidP="00454C17">
      <w:pPr>
        <w:pStyle w:val="ListParagraph"/>
        <w:numPr>
          <w:ilvl w:val="0"/>
          <w:numId w:val="37"/>
        </w:numPr>
        <w:rPr>
          <w:b/>
          <w:bCs/>
          <w:lang w:val="en-GB" w:eastAsia="zh-CN"/>
        </w:rPr>
      </w:pPr>
      <w:r w:rsidRPr="00454C17">
        <w:rPr>
          <w:b/>
          <w:bCs/>
          <w:lang w:val="en-GB" w:eastAsia="zh-CN"/>
        </w:rPr>
        <w:t>NS_100 PC3 A-MPR is used for PC2 and accounts for both 1T</w:t>
      </w:r>
      <w:r w:rsidR="0081735A">
        <w:rPr>
          <w:b/>
          <w:bCs/>
          <w:lang w:val="en-GB" w:eastAsia="zh-CN"/>
        </w:rPr>
        <w:t>x</w:t>
      </w:r>
      <w:r w:rsidRPr="00454C17">
        <w:rPr>
          <w:b/>
          <w:bCs/>
          <w:lang w:val="en-GB" w:eastAsia="zh-CN"/>
        </w:rPr>
        <w:t xml:space="preserve"> and 2T</w:t>
      </w:r>
      <w:r w:rsidR="0081735A">
        <w:rPr>
          <w:b/>
          <w:bCs/>
          <w:lang w:val="en-GB" w:eastAsia="zh-CN"/>
        </w:rPr>
        <w:t>x</w:t>
      </w:r>
      <w:r w:rsidRPr="00454C17">
        <w:rPr>
          <w:b/>
          <w:bCs/>
          <w:lang w:val="en-GB" w:eastAsia="zh-CN"/>
        </w:rPr>
        <w:t xml:space="preserve"> implementations</w:t>
      </w:r>
    </w:p>
    <w:p w14:paraId="6C9D3607" w14:textId="5E9312EA" w:rsidR="00454C17" w:rsidRDefault="00454C17" w:rsidP="00454C17">
      <w:pPr>
        <w:pStyle w:val="ListParagraph"/>
        <w:numPr>
          <w:ilvl w:val="0"/>
          <w:numId w:val="37"/>
        </w:numPr>
        <w:rPr>
          <w:b/>
          <w:bCs/>
          <w:lang w:val="en-GB" w:eastAsia="zh-CN"/>
        </w:rPr>
      </w:pPr>
      <w:r w:rsidRPr="00454C17">
        <w:rPr>
          <w:b/>
          <w:bCs/>
          <w:lang w:val="en-GB" w:eastAsia="zh-CN"/>
        </w:rPr>
        <w:t>NS_03/03U A-MPR is specified for PC2 n2, n25 and n66</w:t>
      </w:r>
      <w:r w:rsidR="00542A07">
        <w:rPr>
          <w:b/>
          <w:bCs/>
          <w:lang w:val="en-GB" w:eastAsia="zh-CN"/>
        </w:rPr>
        <w:t>. Since this requires a modified SEM mask in the first 1MHz, edge allocations may require further attention for PC2</w:t>
      </w:r>
      <w:bookmarkEnd w:id="9"/>
      <w:r w:rsidR="0081735A">
        <w:rPr>
          <w:b/>
          <w:bCs/>
          <w:lang w:val="en-GB" w:eastAsia="zh-CN"/>
        </w:rPr>
        <w:t>.</w:t>
      </w:r>
    </w:p>
    <w:p w14:paraId="589C9128" w14:textId="241B4BF1" w:rsidR="00542A07" w:rsidRDefault="00542A07" w:rsidP="00542A07">
      <w:pPr>
        <w:pStyle w:val="Heading3"/>
        <w:tabs>
          <w:tab w:val="num" w:pos="720"/>
        </w:tabs>
        <w:spacing w:after="240"/>
        <w:ind w:left="720"/>
        <w:rPr>
          <w:lang w:eastAsia="zh-CN"/>
        </w:rPr>
      </w:pPr>
      <w:r>
        <w:rPr>
          <w:lang w:eastAsia="zh-CN"/>
        </w:rPr>
        <w:t>A-MPR for NS03/03U for n2, n25 and n66</w:t>
      </w:r>
    </w:p>
    <w:p w14:paraId="463D1486" w14:textId="35034C6C" w:rsidR="000160C3" w:rsidRPr="000160C3" w:rsidRDefault="000160C3" w:rsidP="000160C3">
      <w:pPr>
        <w:rPr>
          <w:lang w:val="en-GB" w:eastAsia="zh-CN"/>
        </w:rPr>
      </w:pPr>
      <w:r>
        <w:rPr>
          <w:lang w:val="en-GB" w:eastAsia="zh-CN"/>
        </w:rPr>
        <w:t>The PC3 NS_03 A-MPR values are provided in Table 4 with the additional text for NS_03U between “”.</w:t>
      </w:r>
    </w:p>
    <w:p w14:paraId="7894597E" w14:textId="4ED325C9" w:rsidR="000160C3" w:rsidRDefault="000160C3" w:rsidP="000160C3">
      <w:pPr>
        <w:pStyle w:val="Caption"/>
        <w:keepNext/>
        <w:jc w:val="center"/>
      </w:pPr>
      <w:r>
        <w:t xml:space="preserve">Table </w:t>
      </w:r>
      <w:r w:rsidR="00D31B0C">
        <w:fldChar w:fldCharType="begin"/>
      </w:r>
      <w:r w:rsidR="00D31B0C">
        <w:instrText xml:space="preserve"> SEQ Table \* ARABIC </w:instrText>
      </w:r>
      <w:r w:rsidR="00D31B0C">
        <w:fldChar w:fldCharType="separate"/>
      </w:r>
      <w:r>
        <w:rPr>
          <w:noProof/>
        </w:rPr>
        <w:t>4</w:t>
      </w:r>
      <w:r w:rsidR="00D31B0C">
        <w:rPr>
          <w:noProof/>
        </w:rPr>
        <w:fldChar w:fldCharType="end"/>
      </w:r>
      <w:r>
        <w:t xml:space="preserve">: </w:t>
      </w:r>
      <w:r w:rsidRPr="00A1115A">
        <w:t xml:space="preserve">A-MPR for </w:t>
      </w:r>
      <w:r>
        <w:t xml:space="preserve">PC3 </w:t>
      </w:r>
      <w:r w:rsidRPr="00A1115A">
        <w:t>NS_03</w:t>
      </w:r>
      <w:r>
        <w:t xml:space="preserve"> (DFT-s-OFDM/CP-OFDM)</w:t>
      </w:r>
    </w:p>
    <w:tbl>
      <w:tblPr>
        <w:tblW w:w="3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1427"/>
      </w:tblGrid>
      <w:tr w:rsidR="000C0D27" w:rsidRPr="00A1115A" w14:paraId="3D1C2EC0" w14:textId="77777777" w:rsidTr="0022644A">
        <w:trPr>
          <w:trHeight w:val="187"/>
          <w:jc w:val="center"/>
        </w:trPr>
        <w:tc>
          <w:tcPr>
            <w:tcW w:w="2277" w:type="dxa"/>
          </w:tcPr>
          <w:p w14:paraId="08759040" w14:textId="77777777" w:rsidR="000C0D27" w:rsidRPr="00A1115A" w:rsidRDefault="000C0D27" w:rsidP="004E3506">
            <w:pPr>
              <w:pStyle w:val="TAH"/>
            </w:pPr>
            <w:r w:rsidRPr="00A1115A">
              <w:t>Modulation/Waveform</w:t>
            </w:r>
          </w:p>
        </w:tc>
        <w:tc>
          <w:tcPr>
            <w:tcW w:w="1427" w:type="dxa"/>
            <w:shd w:val="clear" w:color="auto" w:fill="auto"/>
            <w:noWrap/>
            <w:hideMark/>
          </w:tcPr>
          <w:p w14:paraId="212B8A65" w14:textId="67079505" w:rsidR="000C0D27" w:rsidRPr="00A1115A" w:rsidRDefault="000C0D27" w:rsidP="004E3506">
            <w:pPr>
              <w:pStyle w:val="TAH"/>
            </w:pPr>
            <w:r w:rsidRPr="00A1115A">
              <w:t>Outer</w:t>
            </w:r>
          </w:p>
        </w:tc>
      </w:tr>
      <w:tr w:rsidR="000C0D27" w:rsidRPr="00A1115A" w14:paraId="21C5829C" w14:textId="77777777" w:rsidTr="0022644A">
        <w:trPr>
          <w:trHeight w:val="187"/>
          <w:jc w:val="center"/>
        </w:trPr>
        <w:tc>
          <w:tcPr>
            <w:tcW w:w="2277" w:type="dxa"/>
          </w:tcPr>
          <w:p w14:paraId="7D3A4507" w14:textId="77777777" w:rsidR="000C0D27" w:rsidRPr="00A1115A" w:rsidRDefault="000C0D27" w:rsidP="004E3506">
            <w:pPr>
              <w:pStyle w:val="TAC"/>
            </w:pPr>
            <w:r w:rsidRPr="00A1115A">
              <w:t>Pi/2 BPSK</w:t>
            </w:r>
          </w:p>
        </w:tc>
        <w:tc>
          <w:tcPr>
            <w:tcW w:w="1427" w:type="dxa"/>
            <w:shd w:val="clear" w:color="auto" w:fill="auto"/>
            <w:noWrap/>
            <w:hideMark/>
          </w:tcPr>
          <w:p w14:paraId="3F77101C" w14:textId="67B027A7" w:rsidR="000C0D27" w:rsidRPr="00A1115A" w:rsidRDefault="000C0D27" w:rsidP="004E3506">
            <w:pPr>
              <w:pStyle w:val="TAC"/>
            </w:pPr>
            <w:r w:rsidRPr="00A1115A">
              <w:t>≤ 1.5</w:t>
            </w:r>
            <w:r>
              <w:t>/NA</w:t>
            </w:r>
          </w:p>
        </w:tc>
      </w:tr>
      <w:tr w:rsidR="000C0D27" w:rsidRPr="00A1115A" w14:paraId="1680C6B2" w14:textId="77777777" w:rsidTr="0022644A">
        <w:trPr>
          <w:trHeight w:val="187"/>
          <w:jc w:val="center"/>
        </w:trPr>
        <w:tc>
          <w:tcPr>
            <w:tcW w:w="2277" w:type="dxa"/>
          </w:tcPr>
          <w:p w14:paraId="31306D52" w14:textId="77777777" w:rsidR="000C0D27" w:rsidRPr="00A1115A" w:rsidRDefault="000C0D27" w:rsidP="004E3506">
            <w:pPr>
              <w:pStyle w:val="TAC"/>
            </w:pPr>
            <w:r w:rsidRPr="00A1115A">
              <w:t>QPSK</w:t>
            </w:r>
          </w:p>
        </w:tc>
        <w:tc>
          <w:tcPr>
            <w:tcW w:w="1427" w:type="dxa"/>
            <w:shd w:val="clear" w:color="auto" w:fill="auto"/>
            <w:noWrap/>
            <w:hideMark/>
          </w:tcPr>
          <w:p w14:paraId="29DEA3AE" w14:textId="2B890EDC" w:rsidR="000C0D27" w:rsidRPr="00A1115A" w:rsidRDefault="000C0D27" w:rsidP="004E3506">
            <w:pPr>
              <w:pStyle w:val="TAC"/>
            </w:pPr>
            <w:r w:rsidRPr="00A1115A">
              <w:t>≤ 2</w:t>
            </w:r>
            <w:r>
              <w:t>/4</w:t>
            </w:r>
          </w:p>
        </w:tc>
      </w:tr>
      <w:tr w:rsidR="000C0D27" w:rsidRPr="00A1115A" w14:paraId="6D7D5088" w14:textId="77777777" w:rsidTr="0022644A">
        <w:trPr>
          <w:trHeight w:val="187"/>
          <w:jc w:val="center"/>
        </w:trPr>
        <w:tc>
          <w:tcPr>
            <w:tcW w:w="2277" w:type="dxa"/>
          </w:tcPr>
          <w:p w14:paraId="65535F39" w14:textId="77777777" w:rsidR="000C0D27" w:rsidRPr="00A1115A" w:rsidRDefault="000C0D27" w:rsidP="004E3506">
            <w:pPr>
              <w:pStyle w:val="TAC"/>
            </w:pPr>
            <w:r w:rsidRPr="00A1115A">
              <w:t>16 QAM</w:t>
            </w:r>
          </w:p>
        </w:tc>
        <w:tc>
          <w:tcPr>
            <w:tcW w:w="1427" w:type="dxa"/>
            <w:shd w:val="clear" w:color="auto" w:fill="auto"/>
            <w:noWrap/>
            <w:hideMark/>
          </w:tcPr>
          <w:p w14:paraId="4A78EF43" w14:textId="13B0A497" w:rsidR="000C0D27" w:rsidRPr="00A1115A" w:rsidRDefault="000C0D27" w:rsidP="004E3506">
            <w:pPr>
              <w:pStyle w:val="TAC"/>
            </w:pPr>
            <w:r w:rsidRPr="00A1115A">
              <w:t>≤ 3</w:t>
            </w:r>
            <w:r>
              <w:t>/4</w:t>
            </w:r>
          </w:p>
        </w:tc>
      </w:tr>
      <w:tr w:rsidR="000C0D27" w:rsidRPr="00A1115A" w14:paraId="7D21FE96" w14:textId="77777777" w:rsidTr="0022644A">
        <w:trPr>
          <w:trHeight w:val="187"/>
          <w:jc w:val="center"/>
        </w:trPr>
        <w:tc>
          <w:tcPr>
            <w:tcW w:w="2277" w:type="dxa"/>
          </w:tcPr>
          <w:p w14:paraId="7B876637" w14:textId="77777777" w:rsidR="000C0D27" w:rsidRPr="00A1115A" w:rsidRDefault="000C0D27" w:rsidP="004E3506">
            <w:pPr>
              <w:pStyle w:val="TAC"/>
            </w:pPr>
            <w:r w:rsidRPr="00A1115A">
              <w:t>64 QAM</w:t>
            </w:r>
          </w:p>
        </w:tc>
        <w:tc>
          <w:tcPr>
            <w:tcW w:w="1427" w:type="dxa"/>
            <w:shd w:val="clear" w:color="auto" w:fill="auto"/>
            <w:noWrap/>
            <w:hideMark/>
          </w:tcPr>
          <w:p w14:paraId="14695314" w14:textId="32B796AA" w:rsidR="000C0D27" w:rsidRPr="00A1115A" w:rsidRDefault="000C0D27" w:rsidP="004E3506">
            <w:pPr>
              <w:pStyle w:val="TAC"/>
            </w:pPr>
            <w:r w:rsidRPr="00A1115A">
              <w:t>≤ 3.5</w:t>
            </w:r>
            <w:r>
              <w:t>/4.5</w:t>
            </w:r>
          </w:p>
        </w:tc>
      </w:tr>
      <w:tr w:rsidR="000C0D27" w:rsidRPr="00A1115A" w14:paraId="328E63D8" w14:textId="77777777" w:rsidTr="0022644A">
        <w:trPr>
          <w:trHeight w:val="187"/>
          <w:jc w:val="center"/>
        </w:trPr>
        <w:tc>
          <w:tcPr>
            <w:tcW w:w="2277" w:type="dxa"/>
          </w:tcPr>
          <w:p w14:paraId="1C30AD11" w14:textId="77777777" w:rsidR="000C0D27" w:rsidRPr="00A1115A" w:rsidRDefault="000C0D27" w:rsidP="004E3506">
            <w:pPr>
              <w:pStyle w:val="TAC"/>
            </w:pPr>
            <w:r w:rsidRPr="00A1115A">
              <w:t>256 QAM</w:t>
            </w:r>
          </w:p>
        </w:tc>
        <w:tc>
          <w:tcPr>
            <w:tcW w:w="1427" w:type="dxa"/>
            <w:shd w:val="clear" w:color="auto" w:fill="auto"/>
            <w:noWrap/>
            <w:hideMark/>
          </w:tcPr>
          <w:p w14:paraId="126C204C" w14:textId="36456136" w:rsidR="000C0D27" w:rsidRPr="00A1115A" w:rsidRDefault="000C0D27" w:rsidP="004E3506">
            <w:pPr>
              <w:pStyle w:val="TAC"/>
            </w:pPr>
            <w:r w:rsidRPr="00A1115A">
              <w:t>≤ 5.5</w:t>
            </w:r>
            <w:r>
              <w:t>/7.5</w:t>
            </w:r>
          </w:p>
        </w:tc>
      </w:tr>
    </w:tbl>
    <w:p w14:paraId="6DD2E7BD" w14:textId="76A7F2D2" w:rsidR="00E4443F" w:rsidRDefault="000160C3" w:rsidP="003C2061">
      <w:r>
        <w:t>“I</w:t>
      </w:r>
      <w:r w:rsidR="007F46F1" w:rsidRPr="00A1115A">
        <w:t xml:space="preserve">n case UE operates in a band where NS_03U applies and it receives </w:t>
      </w:r>
      <w:proofErr w:type="spellStart"/>
      <w:r w:rsidR="007F46F1" w:rsidRPr="00A1115A">
        <w:rPr>
          <w:i/>
        </w:rPr>
        <w:t>additionalSpectrumEmission</w:t>
      </w:r>
      <w:proofErr w:type="spellEnd"/>
      <w:r w:rsidR="007F46F1" w:rsidRPr="00A1115A">
        <w:rPr>
          <w:i/>
        </w:rPr>
        <w:t xml:space="preserve"> </w:t>
      </w:r>
      <w:r w:rsidR="007F46F1" w:rsidRPr="00A1115A">
        <w:t xml:space="preserve">value of 3 then A-MPR values specified in Table 6.2.3.7-1 apply with an exception that DFT-s-OFDM Pi/2 BPSK A-MPR is 2 </w:t>
      </w:r>
      <w:proofErr w:type="spellStart"/>
      <w:r w:rsidR="007F46F1" w:rsidRPr="00A1115A">
        <w:t>dB.</w:t>
      </w:r>
      <w:proofErr w:type="spellEnd"/>
      <w:r>
        <w:t>”</w:t>
      </w:r>
    </w:p>
    <w:p w14:paraId="53F306B6" w14:textId="77777777" w:rsidR="000160C3" w:rsidRDefault="000D2EE1" w:rsidP="003C2061">
      <w:r>
        <w:t>When comparing the PC3 NS_03 A-MPR values with MPR</w:t>
      </w:r>
      <w:r w:rsidR="000160C3">
        <w:t xml:space="preserve"> for outer</w:t>
      </w:r>
      <w:r>
        <w:t xml:space="preserve">, </w:t>
      </w:r>
      <w:r w:rsidR="000160C3">
        <w:t xml:space="preserve">both DFT-s-OFDM and CP-OFDM values are 1dB higher, one could however question why this is the case for 256QAM which is dominated by EVM and not SEM. </w:t>
      </w:r>
    </w:p>
    <w:p w14:paraId="133BD662" w14:textId="0266139D" w:rsidR="003C2061" w:rsidRDefault="000160C3" w:rsidP="003C2061">
      <w:r>
        <w:t>Given that the requirement is absolute</w:t>
      </w:r>
      <w:r w:rsidR="00D24506">
        <w:t>,</w:t>
      </w:r>
      <w:r>
        <w:t xml:space="preserve"> one could expect the PC2 NS_03 A-MPR values to also be about </w:t>
      </w:r>
      <w:r w:rsidR="00D24506">
        <w:t>0.7</w:t>
      </w:r>
      <w:r>
        <w:t xml:space="preserve">dB </w:t>
      </w:r>
      <w:r w:rsidR="00D24506">
        <w:t>h</w:t>
      </w:r>
      <w:r>
        <w:t xml:space="preserve">igher than </w:t>
      </w:r>
      <w:r w:rsidR="00D24506">
        <w:t xml:space="preserve">for </w:t>
      </w:r>
      <w:r>
        <w:t>PC</w:t>
      </w:r>
      <w:r w:rsidR="00D24506">
        <w:t>3</w:t>
      </w:r>
      <w:r>
        <w:t xml:space="preserve"> MPR</w:t>
      </w:r>
      <w:r w:rsidR="00D24506">
        <w:t xml:space="preserve"> (as PC2 ACLR is 1dB higher, emission</w:t>
      </w:r>
      <w:r w:rsidR="008537D0">
        <w:t>s</w:t>
      </w:r>
      <w:r w:rsidR="00D24506">
        <w:t xml:space="preserve"> are about 2dB higher that for PC3)</w:t>
      </w:r>
      <w:r>
        <w:t xml:space="preserve"> for outer</w:t>
      </w:r>
      <w:r w:rsidR="00D24506">
        <w:t>.</w:t>
      </w:r>
      <w:r>
        <w:t xml:space="preserve"> </w:t>
      </w:r>
      <w:r w:rsidR="00D24506">
        <w:t>Additionally,</w:t>
      </w:r>
      <w:r>
        <w:t xml:space="preserve"> to cover both 1Tx and 2Tx, </w:t>
      </w:r>
      <w:r w:rsidR="00D24506">
        <w:t>another 0.5dB</w:t>
      </w:r>
      <w:r>
        <w:t xml:space="preserve"> </w:t>
      </w:r>
      <w:r w:rsidR="00D24506">
        <w:t xml:space="preserve">is needed to cover RIMD, which rounding the total to 1dB, </w:t>
      </w:r>
      <w:r>
        <w:t xml:space="preserve">would result in </w:t>
      </w:r>
      <w:r w:rsidR="00D24506">
        <w:t xml:space="preserve">a tentative A-MPR for PC2 in </w:t>
      </w:r>
      <w:r>
        <w:t>Table 5, but this is pending further checking edge allocations</w:t>
      </w:r>
      <w:r w:rsidR="004A4FBB">
        <w:t xml:space="preserve">. For 256QAM we suggest that 2Tx MPR </w:t>
      </w:r>
      <w:r w:rsidR="008537D0">
        <w:t>be</w:t>
      </w:r>
      <w:r w:rsidR="004A4FBB">
        <w:t xml:space="preserve"> used</w:t>
      </w:r>
      <w:r w:rsidR="00D24506" w:rsidRPr="00D24506">
        <w:t xml:space="preserve"> </w:t>
      </w:r>
      <w:r w:rsidR="00D24506">
        <w:t>for now</w:t>
      </w:r>
      <w:r w:rsidR="004A4FBB">
        <w:t>.</w:t>
      </w:r>
    </w:p>
    <w:p w14:paraId="49E66A80" w14:textId="1A5536BF" w:rsidR="000160C3" w:rsidRDefault="000160C3" w:rsidP="000160C3">
      <w:pPr>
        <w:pStyle w:val="Caption"/>
        <w:keepNext/>
        <w:jc w:val="center"/>
      </w:pPr>
      <w:r>
        <w:lastRenderedPageBreak/>
        <w:t xml:space="preserve">Table </w:t>
      </w:r>
      <w:fldSimple w:instr=" SEQ Table \* ARABIC ">
        <w:r>
          <w:rPr>
            <w:noProof/>
          </w:rPr>
          <w:t>4</w:t>
        </w:r>
      </w:fldSimple>
      <w:r>
        <w:t xml:space="preserve">: tentative </w:t>
      </w:r>
      <w:r w:rsidRPr="00A1115A">
        <w:t>A-MPR for</w:t>
      </w:r>
      <w:r>
        <w:t xml:space="preserve"> PC2</w:t>
      </w:r>
      <w:r w:rsidRPr="00A1115A">
        <w:t xml:space="preserve"> NS_03</w:t>
      </w:r>
      <w:r>
        <w:t xml:space="preserve"> (DFT-s-OFDM/CP-OFDM) outer</w:t>
      </w:r>
    </w:p>
    <w:tbl>
      <w:tblPr>
        <w:tblW w:w="3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1427"/>
      </w:tblGrid>
      <w:tr w:rsidR="000160C3" w:rsidRPr="00A1115A" w14:paraId="0E554DC3" w14:textId="77777777" w:rsidTr="007B247F">
        <w:trPr>
          <w:trHeight w:val="187"/>
          <w:jc w:val="center"/>
        </w:trPr>
        <w:tc>
          <w:tcPr>
            <w:tcW w:w="2277" w:type="dxa"/>
          </w:tcPr>
          <w:p w14:paraId="27908685" w14:textId="77777777" w:rsidR="000160C3" w:rsidRPr="00A1115A" w:rsidRDefault="000160C3" w:rsidP="007B247F">
            <w:pPr>
              <w:pStyle w:val="TAH"/>
            </w:pPr>
            <w:r w:rsidRPr="00A1115A">
              <w:t>Modulation/Waveform</w:t>
            </w:r>
          </w:p>
        </w:tc>
        <w:tc>
          <w:tcPr>
            <w:tcW w:w="1427" w:type="dxa"/>
            <w:shd w:val="clear" w:color="auto" w:fill="auto"/>
            <w:noWrap/>
            <w:hideMark/>
          </w:tcPr>
          <w:p w14:paraId="6E8563DF" w14:textId="77777777" w:rsidR="000160C3" w:rsidRPr="00A1115A" w:rsidRDefault="000160C3" w:rsidP="007B247F">
            <w:pPr>
              <w:pStyle w:val="TAH"/>
            </w:pPr>
            <w:r w:rsidRPr="00A1115A">
              <w:t>Outer</w:t>
            </w:r>
          </w:p>
        </w:tc>
      </w:tr>
      <w:tr w:rsidR="000160C3" w:rsidRPr="00A1115A" w14:paraId="32136B40" w14:textId="77777777" w:rsidTr="007B247F">
        <w:trPr>
          <w:trHeight w:val="187"/>
          <w:jc w:val="center"/>
        </w:trPr>
        <w:tc>
          <w:tcPr>
            <w:tcW w:w="2277" w:type="dxa"/>
          </w:tcPr>
          <w:p w14:paraId="7994ED1B" w14:textId="77777777" w:rsidR="000160C3" w:rsidRPr="00A1115A" w:rsidRDefault="000160C3" w:rsidP="007B247F">
            <w:pPr>
              <w:pStyle w:val="TAC"/>
            </w:pPr>
            <w:r w:rsidRPr="00A1115A">
              <w:t>Pi/2 BPSK</w:t>
            </w:r>
          </w:p>
        </w:tc>
        <w:tc>
          <w:tcPr>
            <w:tcW w:w="1427" w:type="dxa"/>
            <w:shd w:val="clear" w:color="auto" w:fill="auto"/>
            <w:noWrap/>
            <w:hideMark/>
          </w:tcPr>
          <w:p w14:paraId="615918A5" w14:textId="7816A23F" w:rsidR="000160C3" w:rsidRPr="00A1115A" w:rsidRDefault="000160C3" w:rsidP="007B247F">
            <w:pPr>
              <w:pStyle w:val="TAC"/>
            </w:pPr>
            <w:r w:rsidRPr="00A1115A">
              <w:t xml:space="preserve">≤ </w:t>
            </w:r>
            <w:r>
              <w:t>[2</w:t>
            </w:r>
            <w:r w:rsidR="00D24506">
              <w:t>.5</w:t>
            </w:r>
            <w:r>
              <w:t>]/NA</w:t>
            </w:r>
          </w:p>
        </w:tc>
      </w:tr>
      <w:tr w:rsidR="000160C3" w:rsidRPr="00A1115A" w14:paraId="22CD8BAC" w14:textId="77777777" w:rsidTr="007B247F">
        <w:trPr>
          <w:trHeight w:val="187"/>
          <w:jc w:val="center"/>
        </w:trPr>
        <w:tc>
          <w:tcPr>
            <w:tcW w:w="2277" w:type="dxa"/>
          </w:tcPr>
          <w:p w14:paraId="2E065303" w14:textId="77777777" w:rsidR="000160C3" w:rsidRPr="00A1115A" w:rsidRDefault="000160C3" w:rsidP="007B247F">
            <w:pPr>
              <w:pStyle w:val="TAC"/>
            </w:pPr>
            <w:r w:rsidRPr="00A1115A">
              <w:t>QPSK</w:t>
            </w:r>
          </w:p>
        </w:tc>
        <w:tc>
          <w:tcPr>
            <w:tcW w:w="1427" w:type="dxa"/>
            <w:shd w:val="clear" w:color="auto" w:fill="auto"/>
            <w:noWrap/>
            <w:hideMark/>
          </w:tcPr>
          <w:p w14:paraId="43AB6EFC" w14:textId="41363F99" w:rsidR="000160C3" w:rsidRPr="00A1115A" w:rsidRDefault="000160C3" w:rsidP="007B247F">
            <w:pPr>
              <w:pStyle w:val="TAC"/>
            </w:pPr>
            <w:r w:rsidRPr="00A1115A">
              <w:t xml:space="preserve">≤ </w:t>
            </w:r>
            <w:r>
              <w:t>[3/</w:t>
            </w:r>
            <w:r w:rsidR="00D24506">
              <w:t>5</w:t>
            </w:r>
            <w:r>
              <w:t>]</w:t>
            </w:r>
          </w:p>
        </w:tc>
      </w:tr>
      <w:tr w:rsidR="000160C3" w:rsidRPr="00A1115A" w14:paraId="6A3B2FA6" w14:textId="77777777" w:rsidTr="007B247F">
        <w:trPr>
          <w:trHeight w:val="187"/>
          <w:jc w:val="center"/>
        </w:trPr>
        <w:tc>
          <w:tcPr>
            <w:tcW w:w="2277" w:type="dxa"/>
          </w:tcPr>
          <w:p w14:paraId="4273FBF5" w14:textId="77777777" w:rsidR="000160C3" w:rsidRPr="00A1115A" w:rsidRDefault="000160C3" w:rsidP="007B247F">
            <w:pPr>
              <w:pStyle w:val="TAC"/>
            </w:pPr>
            <w:r w:rsidRPr="00A1115A">
              <w:t>16 QAM</w:t>
            </w:r>
          </w:p>
        </w:tc>
        <w:tc>
          <w:tcPr>
            <w:tcW w:w="1427" w:type="dxa"/>
            <w:shd w:val="clear" w:color="auto" w:fill="auto"/>
            <w:noWrap/>
            <w:hideMark/>
          </w:tcPr>
          <w:p w14:paraId="7695C1DD" w14:textId="05E39861" w:rsidR="000160C3" w:rsidRPr="00A1115A" w:rsidRDefault="000160C3" w:rsidP="007B247F">
            <w:pPr>
              <w:pStyle w:val="TAC"/>
            </w:pPr>
            <w:r w:rsidRPr="00A1115A">
              <w:t xml:space="preserve">≤ </w:t>
            </w:r>
            <w:r>
              <w:t>[</w:t>
            </w:r>
            <w:r w:rsidR="00D24506">
              <w:t>4</w:t>
            </w:r>
            <w:r>
              <w:t>/</w:t>
            </w:r>
            <w:r w:rsidR="00D24506">
              <w:t>5</w:t>
            </w:r>
            <w:r>
              <w:t>]</w:t>
            </w:r>
          </w:p>
        </w:tc>
      </w:tr>
      <w:tr w:rsidR="000160C3" w:rsidRPr="00A1115A" w14:paraId="7902F6E4" w14:textId="77777777" w:rsidTr="007B247F">
        <w:trPr>
          <w:trHeight w:val="187"/>
          <w:jc w:val="center"/>
        </w:trPr>
        <w:tc>
          <w:tcPr>
            <w:tcW w:w="2277" w:type="dxa"/>
          </w:tcPr>
          <w:p w14:paraId="7B9FD096" w14:textId="77777777" w:rsidR="000160C3" w:rsidRPr="00A1115A" w:rsidRDefault="000160C3" w:rsidP="007B247F">
            <w:pPr>
              <w:pStyle w:val="TAC"/>
            </w:pPr>
            <w:r w:rsidRPr="00A1115A">
              <w:t>64 QAM</w:t>
            </w:r>
          </w:p>
        </w:tc>
        <w:tc>
          <w:tcPr>
            <w:tcW w:w="1427" w:type="dxa"/>
            <w:shd w:val="clear" w:color="auto" w:fill="auto"/>
            <w:noWrap/>
            <w:hideMark/>
          </w:tcPr>
          <w:p w14:paraId="3D12102A" w14:textId="7583A884" w:rsidR="000160C3" w:rsidRPr="00A1115A" w:rsidRDefault="000160C3" w:rsidP="007B247F">
            <w:pPr>
              <w:pStyle w:val="TAC"/>
            </w:pPr>
            <w:r w:rsidRPr="00A1115A">
              <w:t xml:space="preserve">≤ </w:t>
            </w:r>
            <w:r>
              <w:t>[4</w:t>
            </w:r>
            <w:r w:rsidR="00D24506">
              <w:t>.5</w:t>
            </w:r>
            <w:r>
              <w:t>/</w:t>
            </w:r>
            <w:r w:rsidR="00D24506">
              <w:t>5.5</w:t>
            </w:r>
            <w:r w:rsidR="004A4FBB">
              <w:t>]</w:t>
            </w:r>
          </w:p>
        </w:tc>
      </w:tr>
      <w:tr w:rsidR="000160C3" w:rsidRPr="00A1115A" w14:paraId="017FD1B4" w14:textId="77777777" w:rsidTr="007B247F">
        <w:trPr>
          <w:trHeight w:val="187"/>
          <w:jc w:val="center"/>
        </w:trPr>
        <w:tc>
          <w:tcPr>
            <w:tcW w:w="2277" w:type="dxa"/>
          </w:tcPr>
          <w:p w14:paraId="01C68EA7" w14:textId="77777777" w:rsidR="000160C3" w:rsidRPr="00A1115A" w:rsidRDefault="000160C3" w:rsidP="007B247F">
            <w:pPr>
              <w:pStyle w:val="TAC"/>
            </w:pPr>
            <w:r w:rsidRPr="00A1115A">
              <w:t>256 QAM</w:t>
            </w:r>
          </w:p>
        </w:tc>
        <w:tc>
          <w:tcPr>
            <w:tcW w:w="1427" w:type="dxa"/>
            <w:shd w:val="clear" w:color="auto" w:fill="auto"/>
            <w:noWrap/>
            <w:hideMark/>
          </w:tcPr>
          <w:p w14:paraId="395B6007" w14:textId="343A55E0" w:rsidR="000160C3" w:rsidRPr="00A1115A" w:rsidRDefault="000160C3" w:rsidP="007B247F">
            <w:pPr>
              <w:pStyle w:val="TAC"/>
            </w:pPr>
            <w:r w:rsidRPr="00A1115A">
              <w:t xml:space="preserve">≤ </w:t>
            </w:r>
            <w:r w:rsidR="004A4FBB">
              <w:t>[</w:t>
            </w:r>
            <w:r w:rsidRPr="00A1115A">
              <w:t>5.5</w:t>
            </w:r>
            <w:r>
              <w:t>/</w:t>
            </w:r>
            <w:r w:rsidR="004A4FBB">
              <w:t>8]</w:t>
            </w:r>
          </w:p>
        </w:tc>
      </w:tr>
    </w:tbl>
    <w:p w14:paraId="780972C7" w14:textId="3CA9F0AE" w:rsidR="003C2061" w:rsidRDefault="003C2061" w:rsidP="003C2061"/>
    <w:p w14:paraId="5E831E06" w14:textId="4AAB46D2" w:rsidR="004A4FBB" w:rsidRPr="004A4FBB" w:rsidRDefault="004A4FBB" w:rsidP="004A4FBB">
      <w:pPr>
        <w:spacing w:after="0"/>
        <w:rPr>
          <w:b/>
          <w:bCs/>
        </w:rPr>
      </w:pPr>
      <w:r w:rsidRPr="004A4FBB">
        <w:rPr>
          <w:b/>
          <w:bCs/>
        </w:rPr>
        <w:t>Proposal on NS_03/03U PC2 A-MPR:</w:t>
      </w:r>
    </w:p>
    <w:p w14:paraId="27C8BBA2" w14:textId="198297B8" w:rsidR="004A4FBB" w:rsidRPr="004A4FBB" w:rsidRDefault="004A4FBB" w:rsidP="004A4FBB">
      <w:pPr>
        <w:pStyle w:val="ListParagraph"/>
        <w:numPr>
          <w:ilvl w:val="0"/>
          <w:numId w:val="40"/>
        </w:numPr>
        <w:spacing w:after="0"/>
        <w:rPr>
          <w:b/>
          <w:bCs/>
        </w:rPr>
      </w:pPr>
      <w:r>
        <w:rPr>
          <w:b/>
          <w:bCs/>
        </w:rPr>
        <w:t xml:space="preserve">Edge allocations </w:t>
      </w:r>
      <w:r w:rsidR="00EA0EA8">
        <w:rPr>
          <w:b/>
          <w:bCs/>
        </w:rPr>
        <w:t>must</w:t>
      </w:r>
      <w:r>
        <w:rPr>
          <w:b/>
          <w:bCs/>
        </w:rPr>
        <w:t xml:space="preserve"> be checked to account for WOLA spectrum in the -13dBm/MHz region at &gt;1MHz </w:t>
      </w:r>
      <w:proofErr w:type="spellStart"/>
      <w:r w:rsidRPr="00DB507E">
        <w:rPr>
          <w:rFonts w:ascii="Arial" w:hAnsi="Arial" w:cs="Arial"/>
          <w:b/>
          <w:sz w:val="18"/>
          <w:szCs w:val="18"/>
        </w:rPr>
        <w:t>Δf</w:t>
      </w:r>
      <w:r w:rsidRPr="00DB507E">
        <w:rPr>
          <w:rFonts w:ascii="Arial" w:hAnsi="Arial" w:cs="Arial"/>
          <w:b/>
          <w:sz w:val="18"/>
          <w:szCs w:val="18"/>
          <w:vertAlign w:val="subscript"/>
        </w:rPr>
        <w:t>OOB</w:t>
      </w:r>
      <w:proofErr w:type="spellEnd"/>
    </w:p>
    <w:p w14:paraId="20590929" w14:textId="481EF2BD" w:rsidR="004A4FBB" w:rsidRPr="004A4FBB" w:rsidRDefault="004A4FBB" w:rsidP="004A4FBB">
      <w:pPr>
        <w:pStyle w:val="ListParagraph"/>
        <w:numPr>
          <w:ilvl w:val="0"/>
          <w:numId w:val="40"/>
        </w:numPr>
        <w:spacing w:after="0"/>
        <w:rPr>
          <w:b/>
          <w:bCs/>
        </w:rPr>
      </w:pPr>
      <w:r>
        <w:rPr>
          <w:b/>
          <w:bCs/>
        </w:rPr>
        <w:t>A-MPR for outer is based on 2T</w:t>
      </w:r>
      <w:r w:rsidR="008537D0">
        <w:rPr>
          <w:b/>
          <w:bCs/>
        </w:rPr>
        <w:t>x</w:t>
      </w:r>
      <w:r>
        <w:rPr>
          <w:b/>
          <w:bCs/>
        </w:rPr>
        <w:t xml:space="preserve"> PC</w:t>
      </w:r>
      <w:r w:rsidR="008537D0">
        <w:rPr>
          <w:b/>
          <w:bCs/>
        </w:rPr>
        <w:t>3</w:t>
      </w:r>
      <w:r>
        <w:rPr>
          <w:b/>
          <w:bCs/>
        </w:rPr>
        <w:t xml:space="preserve"> </w:t>
      </w:r>
      <w:r w:rsidR="008537D0">
        <w:rPr>
          <w:b/>
          <w:bCs/>
        </w:rPr>
        <w:t>A-</w:t>
      </w:r>
      <w:r>
        <w:rPr>
          <w:b/>
          <w:bCs/>
        </w:rPr>
        <w:t>MPR+[1dB]</w:t>
      </w:r>
      <w:r w:rsidR="008537D0">
        <w:rPr>
          <w:b/>
          <w:bCs/>
        </w:rPr>
        <w:t>.</w:t>
      </w:r>
    </w:p>
    <w:p w14:paraId="7BE54F94" w14:textId="77777777" w:rsidR="00305289" w:rsidRDefault="00305289" w:rsidP="00274AAC">
      <w:pPr>
        <w:pStyle w:val="Heading1"/>
        <w:tabs>
          <w:tab w:val="clear" w:pos="1152"/>
          <w:tab w:val="num" w:pos="450"/>
        </w:tabs>
        <w:ind w:left="450"/>
      </w:pPr>
      <w:r>
        <w:t>Conclusions</w:t>
      </w:r>
    </w:p>
    <w:p w14:paraId="42A2E817" w14:textId="0054F372" w:rsidR="00D30347" w:rsidRDefault="00305289" w:rsidP="00130EAB">
      <w:pPr>
        <w:spacing w:after="0"/>
        <w:jc w:val="both"/>
      </w:pPr>
      <w:r>
        <w:t xml:space="preserve">In this contribution, </w:t>
      </w:r>
      <w:r w:rsidR="000A5C60">
        <w:t xml:space="preserve">we </w:t>
      </w:r>
      <w:r w:rsidR="00C5731A">
        <w:t>discuss the architecture</w:t>
      </w:r>
      <w:r w:rsidR="00011932">
        <w:t>, MSD and A-MPR aspect for the requested PC2 FDD mid bands and make the following proposals.</w:t>
      </w:r>
      <w:r w:rsidR="00C5731A">
        <w:t xml:space="preserve"> </w:t>
      </w:r>
    </w:p>
    <w:p w14:paraId="4B86AF67" w14:textId="0903D5D1" w:rsidR="00C5731A" w:rsidRDefault="00C5731A" w:rsidP="00130EAB">
      <w:pPr>
        <w:spacing w:after="0"/>
        <w:jc w:val="both"/>
      </w:pPr>
    </w:p>
    <w:p w14:paraId="3348569C" w14:textId="77777777" w:rsidR="00444AAD" w:rsidRPr="00454C17" w:rsidRDefault="00444AAD" w:rsidP="00444AAD">
      <w:pPr>
        <w:spacing w:after="0"/>
        <w:rPr>
          <w:b/>
          <w:bCs/>
          <w:lang w:val="en-GB" w:eastAsia="zh-CN"/>
        </w:rPr>
      </w:pPr>
      <w:r w:rsidRPr="00454C17">
        <w:rPr>
          <w:b/>
          <w:bCs/>
          <w:lang w:val="en-GB" w:eastAsia="zh-CN"/>
        </w:rPr>
        <w:t>Proposal</w:t>
      </w:r>
      <w:r>
        <w:rPr>
          <w:b/>
          <w:bCs/>
          <w:lang w:val="en-GB" w:eastAsia="zh-CN"/>
        </w:rPr>
        <w:t xml:space="preserve"> on architecture</w:t>
      </w:r>
      <w:r w:rsidRPr="00454C17">
        <w:rPr>
          <w:b/>
          <w:bCs/>
          <w:lang w:val="en-GB" w:eastAsia="zh-CN"/>
        </w:rPr>
        <w:t>:</w:t>
      </w:r>
    </w:p>
    <w:p w14:paraId="792F657A" w14:textId="3B8EE305" w:rsidR="00444AAD" w:rsidRPr="003C2061" w:rsidRDefault="00444AAD" w:rsidP="00444AAD">
      <w:pPr>
        <w:pStyle w:val="ListParagraph"/>
        <w:numPr>
          <w:ilvl w:val="0"/>
          <w:numId w:val="37"/>
        </w:numPr>
        <w:rPr>
          <w:b/>
          <w:bCs/>
          <w:lang w:val="en-GB" w:eastAsia="zh-CN"/>
        </w:rPr>
      </w:pPr>
      <w:r w:rsidRPr="003C2061">
        <w:rPr>
          <w:b/>
          <w:bCs/>
          <w:lang w:val="en-GB" w:eastAsia="zh-CN"/>
        </w:rPr>
        <w:t>Both 1Tx and 2T</w:t>
      </w:r>
      <w:r w:rsidR="00AD53CC">
        <w:rPr>
          <w:b/>
          <w:bCs/>
          <w:lang w:val="en-GB" w:eastAsia="zh-CN"/>
        </w:rPr>
        <w:t>x</w:t>
      </w:r>
      <w:r w:rsidRPr="003C2061">
        <w:rPr>
          <w:b/>
          <w:bCs/>
          <w:lang w:val="en-GB" w:eastAsia="zh-CN"/>
        </w:rPr>
        <w:t xml:space="preserve"> architectures are specified for mid bands n2, n25 and n66</w:t>
      </w:r>
    </w:p>
    <w:p w14:paraId="2A54EC1D" w14:textId="10E75677" w:rsidR="00444AAD" w:rsidRDefault="00444AAD" w:rsidP="00444AAD">
      <w:pPr>
        <w:pStyle w:val="ListParagraph"/>
        <w:numPr>
          <w:ilvl w:val="0"/>
          <w:numId w:val="37"/>
        </w:numPr>
        <w:rPr>
          <w:b/>
          <w:bCs/>
          <w:lang w:val="en-GB" w:eastAsia="zh-CN"/>
        </w:rPr>
      </w:pPr>
      <w:r w:rsidRPr="003C2061">
        <w:rPr>
          <w:b/>
          <w:bCs/>
          <w:lang w:val="en-GB" w:eastAsia="zh-CN"/>
        </w:rPr>
        <w:t>Both 1Tx and 2T</w:t>
      </w:r>
      <w:r w:rsidR="00AD53CC">
        <w:rPr>
          <w:b/>
          <w:bCs/>
          <w:lang w:val="en-GB" w:eastAsia="zh-CN"/>
        </w:rPr>
        <w:t>x</w:t>
      </w:r>
      <w:r w:rsidRPr="003C2061">
        <w:rPr>
          <w:b/>
          <w:bCs/>
          <w:lang w:val="en-GB" w:eastAsia="zh-CN"/>
        </w:rPr>
        <w:t xml:space="preserve"> PC2 Reference sensitivity degradation</w:t>
      </w:r>
      <w:r>
        <w:rPr>
          <w:b/>
          <w:bCs/>
          <w:lang w:val="en-GB" w:eastAsia="zh-CN"/>
        </w:rPr>
        <w:t>s</w:t>
      </w:r>
      <w:r w:rsidRPr="003C2061">
        <w:rPr>
          <w:b/>
          <w:bCs/>
          <w:lang w:val="en-GB" w:eastAsia="zh-CN"/>
        </w:rPr>
        <w:t xml:space="preserve"> are specified</w:t>
      </w:r>
    </w:p>
    <w:p w14:paraId="16F2D281" w14:textId="77777777" w:rsidR="00444AAD" w:rsidRPr="003C2061" w:rsidRDefault="00444AAD" w:rsidP="00444AAD">
      <w:pPr>
        <w:pStyle w:val="ListParagraph"/>
        <w:numPr>
          <w:ilvl w:val="0"/>
          <w:numId w:val="37"/>
        </w:numPr>
        <w:rPr>
          <w:b/>
          <w:bCs/>
          <w:lang w:val="en-GB" w:eastAsia="zh-CN"/>
        </w:rPr>
      </w:pPr>
      <w:r>
        <w:rPr>
          <w:b/>
          <w:bCs/>
          <w:lang w:val="en-GB" w:eastAsia="zh-CN"/>
        </w:rPr>
        <w:t>A-MPR is based on the worst-case architecture which is 2Tx due to lower PA linearity and RIMD contribution.</w:t>
      </w:r>
    </w:p>
    <w:p w14:paraId="38AD3C52" w14:textId="77777777" w:rsidR="0081735A" w:rsidRDefault="0081735A" w:rsidP="0081735A">
      <w:pPr>
        <w:spacing w:after="0"/>
        <w:rPr>
          <w:b/>
          <w:bCs/>
          <w:lang w:val="en-GB" w:eastAsia="zh-CN"/>
        </w:rPr>
      </w:pPr>
      <w:r>
        <w:rPr>
          <w:b/>
          <w:bCs/>
          <w:lang w:val="en-GB" w:eastAsia="zh-CN"/>
        </w:rPr>
        <w:t>Proposal on MSD:</w:t>
      </w:r>
    </w:p>
    <w:p w14:paraId="68EFE0DD" w14:textId="77777777" w:rsidR="0081735A" w:rsidRDefault="0081735A" w:rsidP="0081735A">
      <w:pPr>
        <w:pStyle w:val="ListParagraph"/>
        <w:numPr>
          <w:ilvl w:val="0"/>
          <w:numId w:val="39"/>
        </w:numPr>
        <w:rPr>
          <w:b/>
          <w:bCs/>
          <w:lang w:val="en-GB" w:eastAsia="zh-CN"/>
        </w:rPr>
      </w:pPr>
      <w:r w:rsidRPr="00B7375C">
        <w:rPr>
          <w:b/>
          <w:bCs/>
          <w:lang w:val="en-GB" w:eastAsia="zh-CN"/>
        </w:rPr>
        <w:t xml:space="preserve">n66 Reference Sensitivity Degradation from PC3 to PC2 </w:t>
      </w:r>
      <w:r>
        <w:rPr>
          <w:b/>
          <w:bCs/>
          <w:lang w:val="en-GB" w:eastAsia="zh-CN"/>
        </w:rPr>
        <w:t>is</w:t>
      </w:r>
      <w:r w:rsidRPr="00B7375C">
        <w:rPr>
          <w:b/>
          <w:bCs/>
          <w:lang w:val="en-GB" w:eastAsia="zh-CN"/>
        </w:rPr>
        <w:t xml:space="preserve"> 0dB for both 1Tx and 2T</w:t>
      </w:r>
      <w:r>
        <w:rPr>
          <w:b/>
          <w:bCs/>
          <w:lang w:val="en-GB" w:eastAsia="zh-CN"/>
        </w:rPr>
        <w:t>x</w:t>
      </w:r>
    </w:p>
    <w:p w14:paraId="55927EA3" w14:textId="77777777" w:rsidR="0081735A" w:rsidRDefault="0081735A" w:rsidP="0081735A">
      <w:pPr>
        <w:pStyle w:val="ListParagraph"/>
        <w:numPr>
          <w:ilvl w:val="0"/>
          <w:numId w:val="39"/>
        </w:numPr>
        <w:rPr>
          <w:b/>
          <w:bCs/>
          <w:lang w:val="en-GB" w:eastAsia="zh-CN"/>
        </w:rPr>
      </w:pPr>
      <w:r>
        <w:rPr>
          <w:b/>
          <w:bCs/>
          <w:lang w:val="en-GB" w:eastAsia="zh-CN"/>
        </w:rPr>
        <w:t xml:space="preserve">n2 and n25 </w:t>
      </w:r>
      <w:r w:rsidRPr="00B7375C">
        <w:rPr>
          <w:b/>
          <w:bCs/>
          <w:lang w:val="en-GB" w:eastAsia="zh-CN"/>
        </w:rPr>
        <w:t>Reference Sensitivity Degradation</w:t>
      </w:r>
      <w:r>
        <w:rPr>
          <w:b/>
          <w:bCs/>
          <w:lang w:val="en-GB" w:eastAsia="zh-CN"/>
        </w:rPr>
        <w:t xml:space="preserve"> should be assessed for PC2 1Tx and 2Tx for CBW &gt;25MHz for UL and its image IMD order &lt;9 and potentially checked at 25MHz for IMD9</w:t>
      </w:r>
    </w:p>
    <w:p w14:paraId="701112D2" w14:textId="77777777" w:rsidR="0081735A" w:rsidRPr="000D2EE1" w:rsidRDefault="0081735A" w:rsidP="0081735A">
      <w:pPr>
        <w:pStyle w:val="ListParagraph"/>
        <w:numPr>
          <w:ilvl w:val="0"/>
          <w:numId w:val="39"/>
        </w:numPr>
        <w:rPr>
          <w:b/>
          <w:bCs/>
          <w:lang w:val="en-GB" w:eastAsia="zh-CN"/>
        </w:rPr>
      </w:pPr>
      <w:r>
        <w:rPr>
          <w:b/>
          <w:bCs/>
          <w:lang w:val="en-GB" w:eastAsia="zh-CN"/>
        </w:rPr>
        <w:t>Same UL configuration than PC3 is used for PC2.</w:t>
      </w:r>
    </w:p>
    <w:p w14:paraId="018A87E1" w14:textId="77777777" w:rsidR="0081735A" w:rsidRPr="00454C17" w:rsidRDefault="0081735A" w:rsidP="0081735A">
      <w:pPr>
        <w:spacing w:after="0"/>
        <w:rPr>
          <w:b/>
          <w:bCs/>
          <w:lang w:val="en-GB" w:eastAsia="zh-CN"/>
        </w:rPr>
      </w:pPr>
      <w:r w:rsidRPr="00454C17">
        <w:rPr>
          <w:b/>
          <w:bCs/>
          <w:lang w:val="en-GB" w:eastAsia="zh-CN"/>
        </w:rPr>
        <w:t>Proposal</w:t>
      </w:r>
      <w:r>
        <w:rPr>
          <w:b/>
          <w:bCs/>
          <w:lang w:val="en-GB" w:eastAsia="zh-CN"/>
        </w:rPr>
        <w:t xml:space="preserve"> on applicable NS</w:t>
      </w:r>
      <w:r w:rsidRPr="00454C17">
        <w:rPr>
          <w:b/>
          <w:bCs/>
          <w:lang w:val="en-GB" w:eastAsia="zh-CN"/>
        </w:rPr>
        <w:t>:</w:t>
      </w:r>
    </w:p>
    <w:p w14:paraId="3A8B7E3B" w14:textId="77777777" w:rsidR="0081735A" w:rsidRPr="00454C17" w:rsidRDefault="0081735A" w:rsidP="0081735A">
      <w:pPr>
        <w:pStyle w:val="ListParagraph"/>
        <w:numPr>
          <w:ilvl w:val="0"/>
          <w:numId w:val="37"/>
        </w:numPr>
        <w:rPr>
          <w:b/>
          <w:bCs/>
          <w:lang w:val="en-GB" w:eastAsia="zh-CN"/>
        </w:rPr>
      </w:pPr>
      <w:r w:rsidRPr="00454C17">
        <w:rPr>
          <w:b/>
          <w:bCs/>
          <w:lang w:val="en-GB" w:eastAsia="zh-CN"/>
        </w:rPr>
        <w:t>NS_100 PC3 A-MPR is used for PC2 and accounts for both 1T</w:t>
      </w:r>
      <w:r>
        <w:rPr>
          <w:b/>
          <w:bCs/>
          <w:lang w:val="en-GB" w:eastAsia="zh-CN"/>
        </w:rPr>
        <w:t>x</w:t>
      </w:r>
      <w:r w:rsidRPr="00454C17">
        <w:rPr>
          <w:b/>
          <w:bCs/>
          <w:lang w:val="en-GB" w:eastAsia="zh-CN"/>
        </w:rPr>
        <w:t xml:space="preserve"> and 2T</w:t>
      </w:r>
      <w:r>
        <w:rPr>
          <w:b/>
          <w:bCs/>
          <w:lang w:val="en-GB" w:eastAsia="zh-CN"/>
        </w:rPr>
        <w:t>x</w:t>
      </w:r>
      <w:r w:rsidRPr="00454C17">
        <w:rPr>
          <w:b/>
          <w:bCs/>
          <w:lang w:val="en-GB" w:eastAsia="zh-CN"/>
        </w:rPr>
        <w:t xml:space="preserve"> implementations</w:t>
      </w:r>
    </w:p>
    <w:p w14:paraId="14767FD2" w14:textId="77777777" w:rsidR="0081735A" w:rsidRDefault="0081735A" w:rsidP="0081735A">
      <w:pPr>
        <w:pStyle w:val="ListParagraph"/>
        <w:numPr>
          <w:ilvl w:val="0"/>
          <w:numId w:val="37"/>
        </w:numPr>
        <w:rPr>
          <w:b/>
          <w:bCs/>
          <w:lang w:val="en-GB" w:eastAsia="zh-CN"/>
        </w:rPr>
      </w:pPr>
      <w:r w:rsidRPr="00454C17">
        <w:rPr>
          <w:b/>
          <w:bCs/>
          <w:lang w:val="en-GB" w:eastAsia="zh-CN"/>
        </w:rPr>
        <w:t>NS_03/03U A-MPR is specified for PC2 n2, n25 and n66</w:t>
      </w:r>
      <w:r>
        <w:rPr>
          <w:b/>
          <w:bCs/>
          <w:lang w:val="en-GB" w:eastAsia="zh-CN"/>
        </w:rPr>
        <w:t>. Since this requires a modified SEM mask in the first 1MHz, edge allocations may require further attention for PC2.</w:t>
      </w:r>
    </w:p>
    <w:p w14:paraId="291A1981" w14:textId="77777777" w:rsidR="008537D0" w:rsidRPr="004A4FBB" w:rsidRDefault="008537D0" w:rsidP="008537D0">
      <w:pPr>
        <w:spacing w:after="0"/>
        <w:rPr>
          <w:b/>
          <w:bCs/>
        </w:rPr>
      </w:pPr>
      <w:r w:rsidRPr="004A4FBB">
        <w:rPr>
          <w:b/>
          <w:bCs/>
        </w:rPr>
        <w:t>Proposal on NS_03/03U PC2 A-MPR:</w:t>
      </w:r>
    </w:p>
    <w:p w14:paraId="695129B3" w14:textId="7E8D9B0F" w:rsidR="008537D0" w:rsidRPr="004A4FBB" w:rsidRDefault="008537D0" w:rsidP="008537D0">
      <w:pPr>
        <w:pStyle w:val="ListParagraph"/>
        <w:numPr>
          <w:ilvl w:val="0"/>
          <w:numId w:val="40"/>
        </w:numPr>
        <w:spacing w:after="0"/>
        <w:rPr>
          <w:b/>
          <w:bCs/>
        </w:rPr>
      </w:pPr>
      <w:r>
        <w:rPr>
          <w:b/>
          <w:bCs/>
        </w:rPr>
        <w:t xml:space="preserve">Edge allocations </w:t>
      </w:r>
      <w:r w:rsidR="00EA0EA8">
        <w:rPr>
          <w:b/>
          <w:bCs/>
        </w:rPr>
        <w:t>must</w:t>
      </w:r>
      <w:r>
        <w:rPr>
          <w:b/>
          <w:bCs/>
        </w:rPr>
        <w:t xml:space="preserve"> be checked to account for WOLA spectrum in the -13dBm/MHz region at &gt;1MHz </w:t>
      </w:r>
      <w:proofErr w:type="spellStart"/>
      <w:r w:rsidRPr="00DB507E">
        <w:rPr>
          <w:rFonts w:ascii="Arial" w:hAnsi="Arial" w:cs="Arial"/>
          <w:b/>
          <w:sz w:val="18"/>
          <w:szCs w:val="18"/>
        </w:rPr>
        <w:t>Δf</w:t>
      </w:r>
      <w:r w:rsidRPr="00DB507E">
        <w:rPr>
          <w:rFonts w:ascii="Arial" w:hAnsi="Arial" w:cs="Arial"/>
          <w:b/>
          <w:sz w:val="18"/>
          <w:szCs w:val="18"/>
          <w:vertAlign w:val="subscript"/>
        </w:rPr>
        <w:t>OOB</w:t>
      </w:r>
      <w:proofErr w:type="spellEnd"/>
    </w:p>
    <w:p w14:paraId="69B9AEF0" w14:textId="77777777" w:rsidR="008537D0" w:rsidRPr="004A4FBB" w:rsidRDefault="008537D0" w:rsidP="008537D0">
      <w:pPr>
        <w:pStyle w:val="ListParagraph"/>
        <w:numPr>
          <w:ilvl w:val="0"/>
          <w:numId w:val="40"/>
        </w:numPr>
        <w:spacing w:after="0"/>
        <w:rPr>
          <w:b/>
          <w:bCs/>
        </w:rPr>
      </w:pPr>
      <w:r>
        <w:rPr>
          <w:b/>
          <w:bCs/>
        </w:rPr>
        <w:t>A-MPR for outer is based on 2Tx PC3 A-MPR+[1dB].</w:t>
      </w:r>
    </w:p>
    <w:p w14:paraId="03D6921F" w14:textId="77777777" w:rsidR="00F10F97" w:rsidRDefault="007321E3" w:rsidP="00C8525F">
      <w:pPr>
        <w:pStyle w:val="Heading1"/>
        <w:numPr>
          <w:ilvl w:val="0"/>
          <w:numId w:val="0"/>
        </w:numPr>
        <w:jc w:val="both"/>
      </w:pPr>
      <w:r>
        <w:t>R</w:t>
      </w:r>
      <w:r w:rsidR="00F10F97">
        <w:t>eferences</w:t>
      </w:r>
    </w:p>
    <w:p w14:paraId="498288BE" w14:textId="528777FD" w:rsidR="00A9644E" w:rsidRDefault="001C4295" w:rsidP="00E4443F">
      <w:pPr>
        <w:pStyle w:val="ListParagraph"/>
        <w:widowControl w:val="0"/>
        <w:numPr>
          <w:ilvl w:val="0"/>
          <w:numId w:val="11"/>
        </w:numPr>
        <w:snapToGrid w:val="0"/>
      </w:pPr>
      <w:r w:rsidRPr="001C4295">
        <w:t>RP-222625 New WID High power UE for FR1 for FDD single band(s) with power class 2</w:t>
      </w:r>
      <w:r>
        <w:t>,</w:t>
      </w:r>
      <w:r w:rsidRPr="001C4295">
        <w:t xml:space="preserve"> China Unicom</w:t>
      </w:r>
      <w:r>
        <w:t>, RP#97e</w:t>
      </w:r>
    </w:p>
    <w:p w14:paraId="3213050B" w14:textId="68FD619D" w:rsidR="003676A3" w:rsidRDefault="003676A3" w:rsidP="00E4443F">
      <w:pPr>
        <w:pStyle w:val="ListParagraph"/>
        <w:widowControl w:val="0"/>
        <w:numPr>
          <w:ilvl w:val="0"/>
          <w:numId w:val="11"/>
        </w:numPr>
        <w:snapToGrid w:val="0"/>
      </w:pPr>
      <w:bookmarkStart w:id="10" w:name="_Hlk115189142"/>
      <w:r>
        <w:t>R</w:t>
      </w:r>
      <w:r w:rsidRPr="00887CB9">
        <w:t>4-211</w:t>
      </w:r>
      <w:r w:rsidR="00887CB9" w:rsidRPr="00887CB9">
        <w:t>5331</w:t>
      </w:r>
      <w:r>
        <w:t xml:space="preserve"> </w:t>
      </w:r>
      <w:r w:rsidRPr="003676A3">
        <w:t>Architecture MSD and A-MPR aspects for PC2 FDD low bands</w:t>
      </w:r>
      <w:r>
        <w:t>, Skyworks Solutions Inc., R4#1</w:t>
      </w:r>
      <w:r w:rsidR="00AD53CC">
        <w:t>0</w:t>
      </w:r>
      <w:r>
        <w:t>4be</w:t>
      </w:r>
      <w:bookmarkEnd w:id="10"/>
    </w:p>
    <w:sectPr w:rsidR="003676A3"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43027" w14:textId="77777777" w:rsidR="00D31B0C" w:rsidRDefault="00D31B0C">
      <w:r>
        <w:separator/>
      </w:r>
    </w:p>
  </w:endnote>
  <w:endnote w:type="continuationSeparator" w:id="0">
    <w:p w14:paraId="75CF190B" w14:textId="77777777" w:rsidR="00D31B0C" w:rsidRDefault="00D31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426D6" w:rsidRDefault="00842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705BF" w14:textId="77777777" w:rsidR="00D31B0C" w:rsidRDefault="00D31B0C">
      <w:r>
        <w:separator/>
      </w:r>
    </w:p>
  </w:footnote>
  <w:footnote w:type="continuationSeparator" w:id="0">
    <w:p w14:paraId="597483D6" w14:textId="77777777" w:rsidR="00D31B0C" w:rsidRDefault="00D31B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40C96"/>
    <w:multiLevelType w:val="hybridMultilevel"/>
    <w:tmpl w:val="064293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BF1351C"/>
    <w:multiLevelType w:val="hybridMultilevel"/>
    <w:tmpl w:val="7F10F2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A90E06"/>
    <w:multiLevelType w:val="hybridMultilevel"/>
    <w:tmpl w:val="5D446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BA09FF"/>
    <w:multiLevelType w:val="hybridMultilevel"/>
    <w:tmpl w:val="6EE25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3960"/>
        </w:tabs>
        <w:ind w:left="396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AFE2AEF"/>
    <w:multiLevelType w:val="hybridMultilevel"/>
    <w:tmpl w:val="93A46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677B3F"/>
    <w:multiLevelType w:val="hybridMultilevel"/>
    <w:tmpl w:val="E2DCAC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D26D69"/>
    <w:multiLevelType w:val="hybridMultilevel"/>
    <w:tmpl w:val="2904FEE4"/>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20" w15:restartNumberingAfterBreak="0">
    <w:nsid w:val="5D991170"/>
    <w:multiLevelType w:val="hybridMultilevel"/>
    <w:tmpl w:val="42D0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2D237C"/>
    <w:multiLevelType w:val="hybridMultilevel"/>
    <w:tmpl w:val="EAD8F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0"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5"/>
  </w:num>
  <w:num w:numId="4">
    <w:abstractNumId w:val="31"/>
  </w:num>
  <w:num w:numId="5">
    <w:abstractNumId w:val="12"/>
  </w:num>
  <w:num w:numId="6">
    <w:abstractNumId w:val="4"/>
  </w:num>
  <w:num w:numId="7">
    <w:abstractNumId w:val="16"/>
  </w:num>
  <w:num w:numId="8">
    <w:abstractNumId w:val="26"/>
  </w:num>
  <w:num w:numId="9">
    <w:abstractNumId w:val="28"/>
  </w:num>
  <w:num w:numId="10">
    <w:abstractNumId w:val="3"/>
  </w:num>
  <w:num w:numId="11">
    <w:abstractNumId w:val="8"/>
  </w:num>
  <w:num w:numId="12">
    <w:abstractNumId w:val="1"/>
  </w:num>
  <w:num w:numId="13">
    <w:abstractNumId w:val="25"/>
  </w:num>
  <w:num w:numId="14">
    <w:abstractNumId w:val="11"/>
  </w:num>
  <w:num w:numId="15">
    <w:abstractNumId w:val="29"/>
  </w:num>
  <w:num w:numId="16">
    <w:abstractNumId w:val="24"/>
  </w:num>
  <w:num w:numId="17">
    <w:abstractNumId w:val="21"/>
  </w:num>
  <w:num w:numId="18">
    <w:abstractNumId w:val="30"/>
  </w:num>
  <w:num w:numId="19">
    <w:abstractNumId w:val="23"/>
  </w:num>
  <w:num w:numId="20">
    <w:abstractNumId w:val="27"/>
  </w:num>
  <w:num w:numId="21">
    <w:abstractNumId w:val="14"/>
  </w:num>
  <w:num w:numId="22">
    <w:abstractNumId w:val="32"/>
  </w:num>
  <w:num w:numId="23">
    <w:abstractNumId w:val="10"/>
  </w:num>
  <w:num w:numId="24">
    <w:abstractNumId w:val="17"/>
  </w:num>
  <w:num w:numId="25">
    <w:abstractNumId w:val="0"/>
  </w:num>
  <w:num w:numId="26">
    <w:abstractNumId w:val="2"/>
  </w:num>
  <w:num w:numId="27">
    <w:abstractNumId w:val="6"/>
  </w:num>
  <w:num w:numId="28">
    <w:abstractNumId w:val="20"/>
  </w:num>
  <w:num w:numId="29">
    <w:abstractNumId w:val="7"/>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22"/>
  </w:num>
  <w:num w:numId="38">
    <w:abstractNumId w:val="18"/>
  </w:num>
  <w:num w:numId="39">
    <w:abstractNumId w:val="9"/>
  </w:num>
  <w:num w:numId="4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1932"/>
    <w:rsid w:val="00012217"/>
    <w:rsid w:val="000122DC"/>
    <w:rsid w:val="000128D2"/>
    <w:rsid w:val="000133C5"/>
    <w:rsid w:val="00013615"/>
    <w:rsid w:val="00013738"/>
    <w:rsid w:val="00014963"/>
    <w:rsid w:val="00014C47"/>
    <w:rsid w:val="00014E13"/>
    <w:rsid w:val="000156F5"/>
    <w:rsid w:val="000159E9"/>
    <w:rsid w:val="00015A37"/>
    <w:rsid w:val="00015C34"/>
    <w:rsid w:val="000160C3"/>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011"/>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24C"/>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0D27"/>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2EE1"/>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295"/>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4A"/>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5A7"/>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6A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8F2"/>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BA"/>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061"/>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CB5"/>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73"/>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AAD"/>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17"/>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BB"/>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506"/>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07"/>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06C0"/>
    <w:rsid w:val="005807AE"/>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F67"/>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B45"/>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6F4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73E"/>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35A"/>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6D6"/>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7D0"/>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87CB9"/>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38F"/>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556"/>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8E2"/>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C37"/>
    <w:rsid w:val="009D6EB2"/>
    <w:rsid w:val="009D7511"/>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3CC"/>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22"/>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75C"/>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3E4C"/>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BB5"/>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29"/>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55F"/>
    <w:rsid w:val="00D227DB"/>
    <w:rsid w:val="00D2291A"/>
    <w:rsid w:val="00D231ED"/>
    <w:rsid w:val="00D234AF"/>
    <w:rsid w:val="00D237D0"/>
    <w:rsid w:val="00D23941"/>
    <w:rsid w:val="00D23C52"/>
    <w:rsid w:val="00D24506"/>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1B0C"/>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50F"/>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1DC"/>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53F"/>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0E1D"/>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72A"/>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5EF"/>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0EA8"/>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ABA"/>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9DD"/>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7F7"/>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89422230">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1223883">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05236900">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38</TotalTime>
  <Pages>3</Pages>
  <Words>1193</Words>
  <Characters>6802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7980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7</cp:revision>
  <cp:lastPrinted>2010-01-07T15:23:00Z</cp:lastPrinted>
  <dcterms:created xsi:type="dcterms:W3CDTF">2022-09-28T10:00:00Z</dcterms:created>
  <dcterms:modified xsi:type="dcterms:W3CDTF">2022-09-29T10:35:00Z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